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D670AEA" w14:textId="4284A894" w:rsidR="00AF1D3F" w:rsidRPr="00C906DC" w:rsidRDefault="00573DF6" w:rsidP="00AF1D3F">
      <w:pPr>
        <w:pStyle w:val="Title"/>
        <w:rPr>
          <w:sz w:val="28"/>
          <w:szCs w:val="28"/>
        </w:rPr>
      </w:pPr>
      <w:r w:rsidRPr="00C906DC">
        <w:rPr>
          <w:sz w:val="28"/>
          <w:szCs w:val="28"/>
        </w:rPr>
        <w:t xml:space="preserve">Location </w:t>
      </w:r>
      <w:proofErr w:type="spellStart"/>
      <w:r w:rsidRPr="00C906DC">
        <w:rPr>
          <w:sz w:val="28"/>
          <w:szCs w:val="28"/>
        </w:rPr>
        <w:t>Location</w:t>
      </w:r>
      <w:proofErr w:type="spellEnd"/>
      <w:r w:rsidRPr="00C906DC">
        <w:rPr>
          <w:sz w:val="28"/>
          <w:szCs w:val="28"/>
        </w:rPr>
        <w:t xml:space="preserve"> </w:t>
      </w:r>
      <w:proofErr w:type="spellStart"/>
      <w:r w:rsidRPr="00C906DC">
        <w:rPr>
          <w:sz w:val="28"/>
          <w:szCs w:val="28"/>
        </w:rPr>
        <w:t>Location</w:t>
      </w:r>
      <w:proofErr w:type="spellEnd"/>
      <w:r w:rsidR="006B3BD9" w:rsidRPr="00C906DC">
        <w:rPr>
          <w:sz w:val="28"/>
          <w:szCs w:val="28"/>
        </w:rPr>
        <w:t>:</w:t>
      </w:r>
      <w:r w:rsidR="00AF1D3F" w:rsidRPr="00C906DC">
        <w:rPr>
          <w:sz w:val="28"/>
          <w:szCs w:val="28"/>
        </w:rPr>
        <w:t xml:space="preserve"> The Case for</w:t>
      </w:r>
      <w:r w:rsidR="0006707D" w:rsidRPr="00C906DC">
        <w:rPr>
          <w:sz w:val="28"/>
          <w:szCs w:val="28"/>
        </w:rPr>
        <w:t xml:space="preserve"> </w:t>
      </w:r>
      <w:r w:rsidR="000D3D65" w:rsidRPr="00C906DC">
        <w:rPr>
          <w:sz w:val="28"/>
          <w:szCs w:val="28"/>
        </w:rPr>
        <w:t>Bankruptcy</w:t>
      </w:r>
      <w:r w:rsidR="0069755F" w:rsidRPr="00C906DC">
        <w:rPr>
          <w:sz w:val="28"/>
          <w:szCs w:val="28"/>
        </w:rPr>
        <w:t xml:space="preserve"> </w:t>
      </w:r>
      <w:r w:rsidR="0006707D" w:rsidRPr="00C906DC">
        <w:rPr>
          <w:sz w:val="28"/>
          <w:szCs w:val="28"/>
        </w:rPr>
        <w:t>Venue</w:t>
      </w:r>
      <w:r w:rsidR="000D3D65" w:rsidRPr="00C906DC">
        <w:rPr>
          <w:sz w:val="28"/>
          <w:szCs w:val="28"/>
        </w:rPr>
        <w:t xml:space="preserve"> Ref</w:t>
      </w:r>
      <w:bookmarkStart w:id="0" w:name="_GoBack"/>
      <w:bookmarkEnd w:id="0"/>
      <w:r w:rsidR="000D3D65" w:rsidRPr="00C906DC">
        <w:rPr>
          <w:sz w:val="28"/>
          <w:szCs w:val="28"/>
        </w:rPr>
        <w:t>orm</w:t>
      </w:r>
      <w:r w:rsidR="00422C88" w:rsidRPr="00C906DC">
        <w:rPr>
          <w:sz w:val="28"/>
          <w:szCs w:val="28"/>
        </w:rPr>
        <w:t xml:space="preserve"> </w:t>
      </w:r>
    </w:p>
    <w:p w14:paraId="051A9ED5" w14:textId="4D5A8838" w:rsidR="00AF1D3F" w:rsidRDefault="00AF1D3F" w:rsidP="00CB575D">
      <w:pPr>
        <w:pStyle w:val="Constructive"/>
        <w:jc w:val="center"/>
      </w:pPr>
      <w:r>
        <w:t xml:space="preserve">By </w:t>
      </w:r>
      <w:r w:rsidR="007B1A56">
        <w:t xml:space="preserve">“Coach </w:t>
      </w:r>
      <w:r>
        <w:t>Vance</w:t>
      </w:r>
      <w:r w:rsidR="007B1A56">
        <w:t>”</w:t>
      </w:r>
      <w:r>
        <w:t xml:space="preserve"> Trefethen</w:t>
      </w:r>
    </w:p>
    <w:p w14:paraId="07720460" w14:textId="503D87F1" w:rsidR="007B1A56" w:rsidRDefault="007B1A56" w:rsidP="007B1A56">
      <w:pPr>
        <w:pStyle w:val="BB-ConstructiveSpeech"/>
        <w:jc w:val="center"/>
        <w:rPr>
          <w:b/>
          <w:i/>
          <w:sz w:val="22"/>
          <w:szCs w:val="22"/>
        </w:rPr>
      </w:pPr>
      <w:r w:rsidRPr="00917D40">
        <w:rPr>
          <w:rFonts w:ascii="Palatino Linotype" w:eastAsia="MS Mincho" w:hAnsi="Palatino Linotype"/>
          <w:b/>
          <w:i/>
          <w:sz w:val="22"/>
          <w:szCs w:val="22"/>
        </w:rPr>
        <w:t xml:space="preserve">Resolved: The United States federal government </w:t>
      </w:r>
      <w:r w:rsidRPr="00917D40">
        <w:rPr>
          <w:rFonts w:ascii="Palatino Linotype" w:hAnsi="Palatino Linotype"/>
          <w:b/>
          <w:i/>
          <w:sz w:val="22"/>
          <w:szCs w:val="22"/>
          <w:shd w:val="clear" w:color="auto" w:fill="FFFFFF"/>
        </w:rPr>
        <w:t>should substantially reform its banking, finance, and/or monetary policy</w:t>
      </w:r>
      <w:r w:rsidRPr="00917D40">
        <w:rPr>
          <w:b/>
          <w:i/>
          <w:sz w:val="22"/>
          <w:szCs w:val="22"/>
        </w:rPr>
        <w:t>.</w:t>
      </w:r>
    </w:p>
    <w:p w14:paraId="6394FA98" w14:textId="764404E4" w:rsidR="00612DF3" w:rsidRPr="00917D40" w:rsidRDefault="00612DF3" w:rsidP="00C906DC">
      <w:pPr>
        <w:pStyle w:val="Case"/>
        <w:numPr>
          <w:ilvl w:val="0"/>
          <w:numId w:val="0"/>
        </w:numPr>
        <w:ind w:left="576"/>
      </w:pPr>
      <w:r>
        <w:t>Case Summary:  Bankruptcy is part of the financial system and the Constitution assigns jurisdiction on it to the federal government.  Under current law, a debtor (someone who owes money) can file for bankruptcy in any place where they do business or in their place of incorporation.  That means a company (e.g. the Los Angeles Dodgers) that incorporated for convenience in someplace like Delaware can file for bankruptcy there even though they have no employees and no business in Delaware.  This is bad because their creditors (those to whom they owe money) must go across the country to chase them down, or else drop out of the process and lose any rights they may have had to file claims for money owed.  Venue shopping, the practice of looking for a court that will be most favorable to the debtor, leads to a rigged judicial process that needs to be reformed.  This plan enacts a bill that has been introduced multiple times in Congress, but never passed: The Bankruptcy Venue Reform Act.  It eliminates venue shopping by requiring companies to file for bankruptcy where they have substantial business and removes “place of incorporation” as an option.</w:t>
      </w:r>
      <w:r>
        <w:br/>
      </w:r>
      <w:r>
        <w:br/>
        <w:t>Note: This brief quotes a paper published by the National Co</w:t>
      </w:r>
      <w:r w:rsidR="00C729B6">
        <w:t>nference of Bankruptcy Judges.  Evidence from this paper may be cited in both AFF and NEG arguments.  It’s obviously a well</w:t>
      </w:r>
      <w:r w:rsidR="002C5CDB">
        <w:t>-</w:t>
      </w:r>
      <w:r w:rsidR="00C729B6">
        <w:t>qualified source.  Their paper presents arguments both for and against this plan and explicitly says at the end that they take no advocacy position on the issue.  Don’t raise ethical arguments about quoting against author’s intent, because they present good arguments on both sides and have no intent of advocating for either.</w:t>
      </w:r>
    </w:p>
    <w:p w14:paraId="12AAA8EA" w14:textId="6AFB5C6B" w:rsidR="002C5CDB" w:rsidRDefault="00AF1D3F">
      <w:pPr>
        <w:pStyle w:val="TOC1"/>
        <w:rPr>
          <w:rFonts w:asciiTheme="minorHAnsi" w:eastAsiaTheme="minorEastAsia" w:hAnsiTheme="minorHAnsi" w:cstheme="minorBidi"/>
          <w:b w:val="0"/>
          <w:noProof/>
          <w:sz w:val="24"/>
          <w:szCs w:val="24"/>
        </w:rPr>
      </w:pPr>
      <w:r>
        <w:fldChar w:fldCharType="begin"/>
      </w:r>
      <w:r>
        <w:instrText xml:space="preserve"> TOC \t "Contention 1,2,Contention 2,3,Title 2,1" </w:instrText>
      </w:r>
      <w:r>
        <w:fldChar w:fldCharType="separate"/>
      </w:r>
      <w:r w:rsidR="002C5CDB">
        <w:rPr>
          <w:noProof/>
        </w:rPr>
        <w:t>Location Location Location: The Case for the Bankruptcy Venue Reform Act</w:t>
      </w:r>
      <w:r w:rsidR="002C5CDB">
        <w:rPr>
          <w:noProof/>
        </w:rPr>
        <w:tab/>
      </w:r>
      <w:r w:rsidR="002C5CDB">
        <w:rPr>
          <w:noProof/>
        </w:rPr>
        <w:fldChar w:fldCharType="begin"/>
      </w:r>
      <w:r w:rsidR="002C5CDB">
        <w:rPr>
          <w:noProof/>
        </w:rPr>
        <w:instrText xml:space="preserve"> PAGEREF _Toc24201306 \h </w:instrText>
      </w:r>
      <w:r w:rsidR="002C5CDB">
        <w:rPr>
          <w:noProof/>
        </w:rPr>
      </w:r>
      <w:r w:rsidR="002C5CDB">
        <w:rPr>
          <w:noProof/>
        </w:rPr>
        <w:fldChar w:fldCharType="separate"/>
      </w:r>
      <w:r w:rsidR="002C5CDB">
        <w:rPr>
          <w:noProof/>
        </w:rPr>
        <w:t>3</w:t>
      </w:r>
      <w:r w:rsidR="002C5CDB">
        <w:rPr>
          <w:noProof/>
        </w:rPr>
        <w:fldChar w:fldCharType="end"/>
      </w:r>
    </w:p>
    <w:p w14:paraId="381ECBFF" w14:textId="7C877893" w:rsidR="002C5CDB" w:rsidRDefault="002C5CDB">
      <w:pPr>
        <w:pStyle w:val="TOC2"/>
        <w:rPr>
          <w:rFonts w:asciiTheme="minorHAnsi" w:eastAsiaTheme="minorEastAsia" w:hAnsiTheme="minorHAnsi" w:cstheme="minorBidi"/>
          <w:noProof/>
          <w:sz w:val="24"/>
          <w:szCs w:val="24"/>
        </w:rPr>
      </w:pPr>
      <w:r>
        <w:rPr>
          <w:noProof/>
        </w:rPr>
        <w:t>OBSERVATION 1. We offer the following DEFINITIONS.</w:t>
      </w:r>
      <w:r>
        <w:rPr>
          <w:noProof/>
        </w:rPr>
        <w:tab/>
      </w:r>
      <w:r>
        <w:rPr>
          <w:noProof/>
        </w:rPr>
        <w:fldChar w:fldCharType="begin"/>
      </w:r>
      <w:r>
        <w:rPr>
          <w:noProof/>
        </w:rPr>
        <w:instrText xml:space="preserve"> PAGEREF _Toc24201307 \h </w:instrText>
      </w:r>
      <w:r>
        <w:rPr>
          <w:noProof/>
        </w:rPr>
      </w:r>
      <w:r>
        <w:rPr>
          <w:noProof/>
        </w:rPr>
        <w:fldChar w:fldCharType="separate"/>
      </w:r>
      <w:r>
        <w:rPr>
          <w:noProof/>
        </w:rPr>
        <w:t>3</w:t>
      </w:r>
      <w:r>
        <w:rPr>
          <w:noProof/>
        </w:rPr>
        <w:fldChar w:fldCharType="end"/>
      </w:r>
    </w:p>
    <w:p w14:paraId="1084D390" w14:textId="1A964883" w:rsidR="002C5CDB" w:rsidRDefault="002C5CDB">
      <w:pPr>
        <w:pStyle w:val="TOC3"/>
        <w:rPr>
          <w:rFonts w:asciiTheme="minorHAnsi" w:eastAsiaTheme="minorEastAsia" w:hAnsiTheme="minorHAnsi" w:cstheme="minorBidi"/>
          <w:noProof/>
          <w:sz w:val="24"/>
          <w:szCs w:val="24"/>
        </w:rPr>
      </w:pPr>
      <w:r>
        <w:rPr>
          <w:noProof/>
        </w:rPr>
        <w:t>Substantial</w:t>
      </w:r>
      <w:r>
        <w:rPr>
          <w:noProof/>
        </w:rPr>
        <w:tab/>
      </w:r>
      <w:r>
        <w:rPr>
          <w:noProof/>
        </w:rPr>
        <w:fldChar w:fldCharType="begin"/>
      </w:r>
      <w:r>
        <w:rPr>
          <w:noProof/>
        </w:rPr>
        <w:instrText xml:space="preserve"> PAGEREF _Toc24201308 \h </w:instrText>
      </w:r>
      <w:r>
        <w:rPr>
          <w:noProof/>
        </w:rPr>
      </w:r>
      <w:r>
        <w:rPr>
          <w:noProof/>
        </w:rPr>
        <w:fldChar w:fldCharType="separate"/>
      </w:r>
      <w:r>
        <w:rPr>
          <w:noProof/>
        </w:rPr>
        <w:t>3</w:t>
      </w:r>
      <w:r>
        <w:rPr>
          <w:noProof/>
        </w:rPr>
        <w:fldChar w:fldCharType="end"/>
      </w:r>
    </w:p>
    <w:p w14:paraId="52B4F5E8" w14:textId="616534EA" w:rsidR="002C5CDB" w:rsidRDefault="002C5CDB">
      <w:pPr>
        <w:pStyle w:val="TOC2"/>
        <w:rPr>
          <w:rFonts w:asciiTheme="minorHAnsi" w:eastAsiaTheme="minorEastAsia" w:hAnsiTheme="minorHAnsi" w:cstheme="minorBidi"/>
          <w:noProof/>
          <w:sz w:val="24"/>
          <w:szCs w:val="24"/>
        </w:rPr>
      </w:pPr>
      <w:r>
        <w:rPr>
          <w:noProof/>
        </w:rPr>
        <w:t>OBSERVATION 2.  INHERENCY or the conditions of the Status Quo. Two key FACTS</w:t>
      </w:r>
      <w:r>
        <w:rPr>
          <w:noProof/>
        </w:rPr>
        <w:tab/>
      </w:r>
      <w:r>
        <w:rPr>
          <w:noProof/>
        </w:rPr>
        <w:fldChar w:fldCharType="begin"/>
      </w:r>
      <w:r>
        <w:rPr>
          <w:noProof/>
        </w:rPr>
        <w:instrText xml:space="preserve"> PAGEREF _Toc24201309 \h </w:instrText>
      </w:r>
      <w:r>
        <w:rPr>
          <w:noProof/>
        </w:rPr>
      </w:r>
      <w:r>
        <w:rPr>
          <w:noProof/>
        </w:rPr>
        <w:fldChar w:fldCharType="separate"/>
      </w:r>
      <w:r>
        <w:rPr>
          <w:noProof/>
        </w:rPr>
        <w:t>3</w:t>
      </w:r>
      <w:r>
        <w:rPr>
          <w:noProof/>
        </w:rPr>
        <w:fldChar w:fldCharType="end"/>
      </w:r>
    </w:p>
    <w:p w14:paraId="034AA0C6" w14:textId="0E6AD0A6" w:rsidR="002C5CDB" w:rsidRDefault="002C5CDB">
      <w:pPr>
        <w:pStyle w:val="TOC2"/>
        <w:rPr>
          <w:rFonts w:asciiTheme="minorHAnsi" w:eastAsiaTheme="minorEastAsia" w:hAnsiTheme="minorHAnsi" w:cstheme="minorBidi"/>
          <w:noProof/>
          <w:sz w:val="24"/>
          <w:szCs w:val="24"/>
        </w:rPr>
      </w:pPr>
      <w:r>
        <w:rPr>
          <w:noProof/>
        </w:rPr>
        <w:t>FACT 1. Venue Shopping.</w:t>
      </w:r>
      <w:r>
        <w:rPr>
          <w:noProof/>
        </w:rPr>
        <w:tab/>
      </w:r>
      <w:r>
        <w:rPr>
          <w:noProof/>
        </w:rPr>
        <w:fldChar w:fldCharType="begin"/>
      </w:r>
      <w:r>
        <w:rPr>
          <w:noProof/>
        </w:rPr>
        <w:instrText xml:space="preserve"> PAGEREF _Toc24201310 \h </w:instrText>
      </w:r>
      <w:r>
        <w:rPr>
          <w:noProof/>
        </w:rPr>
      </w:r>
      <w:r>
        <w:rPr>
          <w:noProof/>
        </w:rPr>
        <w:fldChar w:fldCharType="separate"/>
      </w:r>
      <w:r>
        <w:rPr>
          <w:noProof/>
        </w:rPr>
        <w:t>3</w:t>
      </w:r>
      <w:r>
        <w:rPr>
          <w:noProof/>
        </w:rPr>
        <w:fldChar w:fldCharType="end"/>
      </w:r>
    </w:p>
    <w:p w14:paraId="61067716" w14:textId="466F6C3F" w:rsidR="002C5CDB" w:rsidRDefault="002C5CDB">
      <w:pPr>
        <w:pStyle w:val="TOC3"/>
        <w:rPr>
          <w:rFonts w:asciiTheme="minorHAnsi" w:eastAsiaTheme="minorEastAsia" w:hAnsiTheme="minorHAnsi" w:cstheme="minorBidi"/>
          <w:noProof/>
          <w:sz w:val="24"/>
          <w:szCs w:val="24"/>
        </w:rPr>
      </w:pPr>
      <w:r>
        <w:rPr>
          <w:noProof/>
        </w:rPr>
        <w:t>Federal law lets bankruptcy cases  be filed in many different places, allowing debtors to do venue shopping</w:t>
      </w:r>
      <w:r>
        <w:rPr>
          <w:noProof/>
        </w:rPr>
        <w:tab/>
      </w:r>
      <w:r>
        <w:rPr>
          <w:noProof/>
        </w:rPr>
        <w:fldChar w:fldCharType="begin"/>
      </w:r>
      <w:r>
        <w:rPr>
          <w:noProof/>
        </w:rPr>
        <w:instrText xml:space="preserve"> PAGEREF _Toc24201311 \h </w:instrText>
      </w:r>
      <w:r>
        <w:rPr>
          <w:noProof/>
        </w:rPr>
      </w:r>
      <w:r>
        <w:rPr>
          <w:noProof/>
        </w:rPr>
        <w:fldChar w:fldCharType="separate"/>
      </w:r>
      <w:r>
        <w:rPr>
          <w:noProof/>
        </w:rPr>
        <w:t>3</w:t>
      </w:r>
      <w:r>
        <w:rPr>
          <w:noProof/>
        </w:rPr>
        <w:fldChar w:fldCharType="end"/>
      </w:r>
    </w:p>
    <w:p w14:paraId="501378CF" w14:textId="1638A249" w:rsidR="002C5CDB" w:rsidRDefault="002C5CDB">
      <w:pPr>
        <w:pStyle w:val="TOC2"/>
        <w:rPr>
          <w:rFonts w:asciiTheme="minorHAnsi" w:eastAsiaTheme="minorEastAsia" w:hAnsiTheme="minorHAnsi" w:cstheme="minorBidi"/>
          <w:noProof/>
          <w:sz w:val="24"/>
          <w:szCs w:val="24"/>
        </w:rPr>
      </w:pPr>
      <w:r>
        <w:rPr>
          <w:noProof/>
        </w:rPr>
        <w:t>FACT 2.  Magnet Courts.</w:t>
      </w:r>
      <w:r>
        <w:rPr>
          <w:noProof/>
        </w:rPr>
        <w:tab/>
      </w:r>
      <w:r>
        <w:rPr>
          <w:noProof/>
        </w:rPr>
        <w:fldChar w:fldCharType="begin"/>
      </w:r>
      <w:r>
        <w:rPr>
          <w:noProof/>
        </w:rPr>
        <w:instrText xml:space="preserve"> PAGEREF _Toc24201312 \h </w:instrText>
      </w:r>
      <w:r>
        <w:rPr>
          <w:noProof/>
        </w:rPr>
      </w:r>
      <w:r>
        <w:rPr>
          <w:noProof/>
        </w:rPr>
        <w:fldChar w:fldCharType="separate"/>
      </w:r>
      <w:r>
        <w:rPr>
          <w:noProof/>
        </w:rPr>
        <w:t>4</w:t>
      </w:r>
      <w:r>
        <w:rPr>
          <w:noProof/>
        </w:rPr>
        <w:fldChar w:fldCharType="end"/>
      </w:r>
    </w:p>
    <w:p w14:paraId="160E8AAC" w14:textId="6F6218ED" w:rsidR="002C5CDB" w:rsidRDefault="002C5CDB">
      <w:pPr>
        <w:pStyle w:val="TOC3"/>
        <w:rPr>
          <w:rFonts w:asciiTheme="minorHAnsi" w:eastAsiaTheme="minorEastAsia" w:hAnsiTheme="minorHAnsi" w:cstheme="minorBidi"/>
          <w:noProof/>
          <w:sz w:val="24"/>
          <w:szCs w:val="24"/>
        </w:rPr>
      </w:pPr>
      <w:r>
        <w:rPr>
          <w:noProof/>
        </w:rPr>
        <w:t>Most large bankruptcies are handled in only 2 federal courts nationwide – the magnet courts</w:t>
      </w:r>
      <w:r>
        <w:rPr>
          <w:noProof/>
        </w:rPr>
        <w:tab/>
      </w:r>
      <w:r>
        <w:rPr>
          <w:noProof/>
        </w:rPr>
        <w:fldChar w:fldCharType="begin"/>
      </w:r>
      <w:r>
        <w:rPr>
          <w:noProof/>
        </w:rPr>
        <w:instrText xml:space="preserve"> PAGEREF _Toc24201313 \h </w:instrText>
      </w:r>
      <w:r>
        <w:rPr>
          <w:noProof/>
        </w:rPr>
      </w:r>
      <w:r>
        <w:rPr>
          <w:noProof/>
        </w:rPr>
        <w:fldChar w:fldCharType="separate"/>
      </w:r>
      <w:r>
        <w:rPr>
          <w:noProof/>
        </w:rPr>
        <w:t>4</w:t>
      </w:r>
      <w:r>
        <w:rPr>
          <w:noProof/>
        </w:rPr>
        <w:fldChar w:fldCharType="end"/>
      </w:r>
    </w:p>
    <w:p w14:paraId="46EAAA6C" w14:textId="1193F44D" w:rsidR="002C5CDB" w:rsidRDefault="002C5CDB">
      <w:pPr>
        <w:pStyle w:val="TOC2"/>
        <w:rPr>
          <w:rFonts w:asciiTheme="minorHAnsi" w:eastAsiaTheme="minorEastAsia" w:hAnsiTheme="minorHAnsi" w:cstheme="minorBidi"/>
          <w:noProof/>
          <w:sz w:val="24"/>
          <w:szCs w:val="24"/>
        </w:rPr>
      </w:pPr>
      <w:r>
        <w:rPr>
          <w:noProof/>
        </w:rPr>
        <w:t>OBSERVATION 3.  The HARMS.</w:t>
      </w:r>
      <w:r>
        <w:rPr>
          <w:noProof/>
        </w:rPr>
        <w:tab/>
      </w:r>
      <w:r>
        <w:rPr>
          <w:noProof/>
        </w:rPr>
        <w:fldChar w:fldCharType="begin"/>
      </w:r>
      <w:r>
        <w:rPr>
          <w:noProof/>
        </w:rPr>
        <w:instrText xml:space="preserve"> PAGEREF _Toc24201314 \h </w:instrText>
      </w:r>
      <w:r>
        <w:rPr>
          <w:noProof/>
        </w:rPr>
      </w:r>
      <w:r>
        <w:rPr>
          <w:noProof/>
        </w:rPr>
        <w:fldChar w:fldCharType="separate"/>
      </w:r>
      <w:r>
        <w:rPr>
          <w:noProof/>
        </w:rPr>
        <w:t>4</w:t>
      </w:r>
      <w:r>
        <w:rPr>
          <w:noProof/>
        </w:rPr>
        <w:fldChar w:fldCharType="end"/>
      </w:r>
    </w:p>
    <w:p w14:paraId="3398C515" w14:textId="7C0C48C1" w:rsidR="002C5CDB" w:rsidRDefault="002C5CDB">
      <w:pPr>
        <w:pStyle w:val="TOC2"/>
        <w:rPr>
          <w:rFonts w:asciiTheme="minorHAnsi" w:eastAsiaTheme="minorEastAsia" w:hAnsiTheme="minorHAnsi" w:cstheme="minorBidi"/>
          <w:noProof/>
          <w:sz w:val="24"/>
          <w:szCs w:val="24"/>
        </w:rPr>
      </w:pPr>
      <w:r>
        <w:rPr>
          <w:noProof/>
        </w:rPr>
        <w:t>HARM 1.  Injustice.</w:t>
      </w:r>
      <w:r>
        <w:rPr>
          <w:noProof/>
        </w:rPr>
        <w:tab/>
      </w:r>
      <w:r>
        <w:rPr>
          <w:noProof/>
        </w:rPr>
        <w:fldChar w:fldCharType="begin"/>
      </w:r>
      <w:r>
        <w:rPr>
          <w:noProof/>
        </w:rPr>
        <w:instrText xml:space="preserve"> PAGEREF _Toc24201315 \h </w:instrText>
      </w:r>
      <w:r>
        <w:rPr>
          <w:noProof/>
        </w:rPr>
      </w:r>
      <w:r>
        <w:rPr>
          <w:noProof/>
        </w:rPr>
        <w:fldChar w:fldCharType="separate"/>
      </w:r>
      <w:r>
        <w:rPr>
          <w:noProof/>
        </w:rPr>
        <w:t>4</w:t>
      </w:r>
      <w:r>
        <w:rPr>
          <w:noProof/>
        </w:rPr>
        <w:fldChar w:fldCharType="end"/>
      </w:r>
    </w:p>
    <w:p w14:paraId="06CD73ED" w14:textId="67602F13" w:rsidR="002C5CDB" w:rsidRDefault="002C5CDB">
      <w:pPr>
        <w:pStyle w:val="TOC3"/>
        <w:rPr>
          <w:rFonts w:asciiTheme="minorHAnsi" w:eastAsiaTheme="minorEastAsia" w:hAnsiTheme="minorHAnsi" w:cstheme="minorBidi"/>
          <w:noProof/>
          <w:sz w:val="24"/>
          <w:szCs w:val="24"/>
        </w:rPr>
      </w:pPr>
      <w:r>
        <w:rPr>
          <w:noProof/>
        </w:rPr>
        <w:t>Rights are violated when debtors are allowed to choose far-away courts to file bankruptcy</w:t>
      </w:r>
      <w:r>
        <w:rPr>
          <w:noProof/>
        </w:rPr>
        <w:tab/>
      </w:r>
      <w:r>
        <w:rPr>
          <w:noProof/>
        </w:rPr>
        <w:fldChar w:fldCharType="begin"/>
      </w:r>
      <w:r>
        <w:rPr>
          <w:noProof/>
        </w:rPr>
        <w:instrText xml:space="preserve"> PAGEREF _Toc24201316 \h </w:instrText>
      </w:r>
      <w:r>
        <w:rPr>
          <w:noProof/>
        </w:rPr>
      </w:r>
      <w:r>
        <w:rPr>
          <w:noProof/>
        </w:rPr>
        <w:fldChar w:fldCharType="separate"/>
      </w:r>
      <w:r>
        <w:rPr>
          <w:noProof/>
        </w:rPr>
        <w:t>4</w:t>
      </w:r>
      <w:r>
        <w:rPr>
          <w:noProof/>
        </w:rPr>
        <w:fldChar w:fldCharType="end"/>
      </w:r>
    </w:p>
    <w:p w14:paraId="12E4EE8B" w14:textId="5CB8F0F1" w:rsidR="002C5CDB" w:rsidRDefault="002C5CDB">
      <w:pPr>
        <w:pStyle w:val="TOC2"/>
        <w:rPr>
          <w:rFonts w:asciiTheme="minorHAnsi" w:eastAsiaTheme="minorEastAsia" w:hAnsiTheme="minorHAnsi" w:cstheme="minorBidi"/>
          <w:noProof/>
          <w:sz w:val="24"/>
          <w:szCs w:val="24"/>
        </w:rPr>
      </w:pPr>
      <w:r>
        <w:rPr>
          <w:noProof/>
        </w:rPr>
        <w:t>HARM 2.  Communities suffer.</w:t>
      </w:r>
      <w:r>
        <w:rPr>
          <w:noProof/>
        </w:rPr>
        <w:tab/>
      </w:r>
      <w:r>
        <w:rPr>
          <w:noProof/>
        </w:rPr>
        <w:fldChar w:fldCharType="begin"/>
      </w:r>
      <w:r>
        <w:rPr>
          <w:noProof/>
        </w:rPr>
        <w:instrText xml:space="preserve"> PAGEREF _Toc24201317 \h </w:instrText>
      </w:r>
      <w:r>
        <w:rPr>
          <w:noProof/>
        </w:rPr>
      </w:r>
      <w:r>
        <w:rPr>
          <w:noProof/>
        </w:rPr>
        <w:fldChar w:fldCharType="separate"/>
      </w:r>
      <w:r>
        <w:rPr>
          <w:noProof/>
        </w:rPr>
        <w:t>4</w:t>
      </w:r>
      <w:r>
        <w:rPr>
          <w:noProof/>
        </w:rPr>
        <w:fldChar w:fldCharType="end"/>
      </w:r>
    </w:p>
    <w:p w14:paraId="739FFABF" w14:textId="2986D42A" w:rsidR="002C5CDB" w:rsidRDefault="002C5CDB">
      <w:pPr>
        <w:pStyle w:val="TOC3"/>
        <w:rPr>
          <w:rFonts w:asciiTheme="minorHAnsi" w:eastAsiaTheme="minorEastAsia" w:hAnsiTheme="minorHAnsi" w:cstheme="minorBidi"/>
          <w:noProof/>
          <w:sz w:val="24"/>
          <w:szCs w:val="24"/>
        </w:rPr>
      </w:pPr>
      <w:r>
        <w:rPr>
          <w:noProof/>
        </w:rPr>
        <w:t>When a business goes bankrupt, the local creditors, employees and citizens will suffer if the case is heard in a remote venue where they can’t participate in the process</w:t>
      </w:r>
      <w:r>
        <w:rPr>
          <w:noProof/>
        </w:rPr>
        <w:tab/>
      </w:r>
      <w:r>
        <w:rPr>
          <w:noProof/>
        </w:rPr>
        <w:fldChar w:fldCharType="begin"/>
      </w:r>
      <w:r>
        <w:rPr>
          <w:noProof/>
        </w:rPr>
        <w:instrText xml:space="preserve"> PAGEREF _Toc24201318 \h </w:instrText>
      </w:r>
      <w:r>
        <w:rPr>
          <w:noProof/>
        </w:rPr>
      </w:r>
      <w:r>
        <w:rPr>
          <w:noProof/>
        </w:rPr>
        <w:fldChar w:fldCharType="separate"/>
      </w:r>
      <w:r>
        <w:rPr>
          <w:noProof/>
        </w:rPr>
        <w:t>4</w:t>
      </w:r>
      <w:r>
        <w:rPr>
          <w:noProof/>
        </w:rPr>
        <w:fldChar w:fldCharType="end"/>
      </w:r>
    </w:p>
    <w:p w14:paraId="5B6370B0" w14:textId="5C4C3646" w:rsidR="002C5CDB" w:rsidRDefault="002C5CDB">
      <w:pPr>
        <w:pStyle w:val="TOC2"/>
        <w:rPr>
          <w:rFonts w:asciiTheme="minorHAnsi" w:eastAsiaTheme="minorEastAsia" w:hAnsiTheme="minorHAnsi" w:cstheme="minorBidi"/>
          <w:noProof/>
          <w:sz w:val="24"/>
          <w:szCs w:val="24"/>
        </w:rPr>
      </w:pPr>
      <w:r>
        <w:rPr>
          <w:noProof/>
        </w:rPr>
        <w:t>HARM 3.  Rigged system</w:t>
      </w:r>
      <w:r>
        <w:rPr>
          <w:noProof/>
        </w:rPr>
        <w:tab/>
      </w:r>
      <w:r>
        <w:rPr>
          <w:noProof/>
        </w:rPr>
        <w:fldChar w:fldCharType="begin"/>
      </w:r>
      <w:r>
        <w:rPr>
          <w:noProof/>
        </w:rPr>
        <w:instrText xml:space="preserve"> PAGEREF _Toc24201319 \h </w:instrText>
      </w:r>
      <w:r>
        <w:rPr>
          <w:noProof/>
        </w:rPr>
      </w:r>
      <w:r>
        <w:rPr>
          <w:noProof/>
        </w:rPr>
        <w:fldChar w:fldCharType="separate"/>
      </w:r>
      <w:r>
        <w:rPr>
          <w:noProof/>
        </w:rPr>
        <w:t>5</w:t>
      </w:r>
      <w:r>
        <w:rPr>
          <w:noProof/>
        </w:rPr>
        <w:fldChar w:fldCharType="end"/>
      </w:r>
    </w:p>
    <w:p w14:paraId="10E70128" w14:textId="7645FAFC" w:rsidR="002C5CDB" w:rsidRDefault="002C5CDB">
      <w:pPr>
        <w:pStyle w:val="TOC3"/>
        <w:rPr>
          <w:rFonts w:asciiTheme="minorHAnsi" w:eastAsiaTheme="minorEastAsia" w:hAnsiTheme="minorHAnsi" w:cstheme="minorBidi"/>
          <w:noProof/>
          <w:sz w:val="24"/>
          <w:szCs w:val="24"/>
        </w:rPr>
      </w:pPr>
      <w:r>
        <w:rPr>
          <w:noProof/>
        </w:rPr>
        <w:t>Venue shopping creates a rigged system with biased outcomes. It destroys the integrity of the judicial process</w:t>
      </w:r>
      <w:r>
        <w:rPr>
          <w:noProof/>
        </w:rPr>
        <w:tab/>
      </w:r>
      <w:r>
        <w:rPr>
          <w:noProof/>
        </w:rPr>
        <w:fldChar w:fldCharType="begin"/>
      </w:r>
      <w:r>
        <w:rPr>
          <w:noProof/>
        </w:rPr>
        <w:instrText xml:space="preserve"> PAGEREF _Toc24201320 \h </w:instrText>
      </w:r>
      <w:r>
        <w:rPr>
          <w:noProof/>
        </w:rPr>
      </w:r>
      <w:r>
        <w:rPr>
          <w:noProof/>
        </w:rPr>
        <w:fldChar w:fldCharType="separate"/>
      </w:r>
      <w:r>
        <w:rPr>
          <w:noProof/>
        </w:rPr>
        <w:t>5</w:t>
      </w:r>
      <w:r>
        <w:rPr>
          <w:noProof/>
        </w:rPr>
        <w:fldChar w:fldCharType="end"/>
      </w:r>
    </w:p>
    <w:p w14:paraId="0924209E" w14:textId="3F324E8A" w:rsidR="002C5CDB" w:rsidRDefault="002C5CDB">
      <w:pPr>
        <w:pStyle w:val="TOC2"/>
        <w:rPr>
          <w:rFonts w:asciiTheme="minorHAnsi" w:eastAsiaTheme="minorEastAsia" w:hAnsiTheme="minorHAnsi" w:cstheme="minorBidi"/>
          <w:noProof/>
          <w:sz w:val="24"/>
          <w:szCs w:val="24"/>
        </w:rPr>
      </w:pPr>
      <w:r>
        <w:rPr>
          <w:noProof/>
        </w:rPr>
        <w:t>OBSERVATION 4. We offer the following PLAN</w:t>
      </w:r>
      <w:r>
        <w:rPr>
          <w:noProof/>
        </w:rPr>
        <w:tab/>
      </w:r>
      <w:r>
        <w:rPr>
          <w:noProof/>
        </w:rPr>
        <w:fldChar w:fldCharType="begin"/>
      </w:r>
      <w:r>
        <w:rPr>
          <w:noProof/>
        </w:rPr>
        <w:instrText xml:space="preserve"> PAGEREF _Toc24201321 \h </w:instrText>
      </w:r>
      <w:r>
        <w:rPr>
          <w:noProof/>
        </w:rPr>
      </w:r>
      <w:r>
        <w:rPr>
          <w:noProof/>
        </w:rPr>
        <w:fldChar w:fldCharType="separate"/>
      </w:r>
      <w:r>
        <w:rPr>
          <w:noProof/>
        </w:rPr>
        <w:t>5</w:t>
      </w:r>
      <w:r>
        <w:rPr>
          <w:noProof/>
        </w:rPr>
        <w:fldChar w:fldCharType="end"/>
      </w:r>
    </w:p>
    <w:p w14:paraId="4A041302" w14:textId="5C4E0B02" w:rsidR="002C5CDB" w:rsidRDefault="002C5CDB">
      <w:pPr>
        <w:pStyle w:val="TOC2"/>
        <w:rPr>
          <w:rFonts w:asciiTheme="minorHAnsi" w:eastAsiaTheme="minorEastAsia" w:hAnsiTheme="minorHAnsi" w:cstheme="minorBidi"/>
          <w:noProof/>
          <w:sz w:val="24"/>
          <w:szCs w:val="24"/>
        </w:rPr>
      </w:pPr>
      <w:r>
        <w:rPr>
          <w:noProof/>
        </w:rPr>
        <w:t>OBSERVATION 5.  The Plan SOLVES.</w:t>
      </w:r>
      <w:r>
        <w:rPr>
          <w:noProof/>
        </w:rPr>
        <w:tab/>
      </w:r>
      <w:r>
        <w:rPr>
          <w:noProof/>
        </w:rPr>
        <w:fldChar w:fldCharType="begin"/>
      </w:r>
      <w:r>
        <w:rPr>
          <w:noProof/>
        </w:rPr>
        <w:instrText xml:space="preserve"> PAGEREF _Toc24201322 \h </w:instrText>
      </w:r>
      <w:r>
        <w:rPr>
          <w:noProof/>
        </w:rPr>
      </w:r>
      <w:r>
        <w:rPr>
          <w:noProof/>
        </w:rPr>
        <w:fldChar w:fldCharType="separate"/>
      </w:r>
      <w:r>
        <w:rPr>
          <w:noProof/>
        </w:rPr>
        <w:t>6</w:t>
      </w:r>
      <w:r>
        <w:rPr>
          <w:noProof/>
        </w:rPr>
        <w:fldChar w:fldCharType="end"/>
      </w:r>
    </w:p>
    <w:p w14:paraId="195A03C1" w14:textId="461936E4" w:rsidR="002C5CDB" w:rsidRDefault="002C5CDB">
      <w:pPr>
        <w:pStyle w:val="TOC3"/>
        <w:rPr>
          <w:rFonts w:asciiTheme="minorHAnsi" w:eastAsiaTheme="minorEastAsia" w:hAnsiTheme="minorHAnsi" w:cstheme="minorBidi"/>
          <w:noProof/>
          <w:sz w:val="24"/>
          <w:szCs w:val="24"/>
        </w:rPr>
      </w:pPr>
      <w:r>
        <w:rPr>
          <w:noProof/>
        </w:rPr>
        <w:t>A.  Bankruptcy Venue Reform Act ends venue shopping and brings proceedings back to the community</w:t>
      </w:r>
      <w:r>
        <w:rPr>
          <w:noProof/>
        </w:rPr>
        <w:tab/>
      </w:r>
      <w:r>
        <w:rPr>
          <w:noProof/>
        </w:rPr>
        <w:fldChar w:fldCharType="begin"/>
      </w:r>
      <w:r>
        <w:rPr>
          <w:noProof/>
        </w:rPr>
        <w:instrText xml:space="preserve"> PAGEREF _Toc24201323 \h </w:instrText>
      </w:r>
      <w:r>
        <w:rPr>
          <w:noProof/>
        </w:rPr>
      </w:r>
      <w:r>
        <w:rPr>
          <w:noProof/>
        </w:rPr>
        <w:fldChar w:fldCharType="separate"/>
      </w:r>
      <w:r>
        <w:rPr>
          <w:noProof/>
        </w:rPr>
        <w:t>6</w:t>
      </w:r>
      <w:r>
        <w:rPr>
          <w:noProof/>
        </w:rPr>
        <w:fldChar w:fldCharType="end"/>
      </w:r>
    </w:p>
    <w:p w14:paraId="2D4EB64A" w14:textId="162EA5E0" w:rsidR="002C5CDB" w:rsidRDefault="002C5CDB">
      <w:pPr>
        <w:pStyle w:val="TOC3"/>
        <w:rPr>
          <w:rFonts w:asciiTheme="minorHAnsi" w:eastAsiaTheme="minorEastAsia" w:hAnsiTheme="minorHAnsi" w:cstheme="minorBidi"/>
          <w:noProof/>
          <w:sz w:val="24"/>
          <w:szCs w:val="24"/>
        </w:rPr>
      </w:pPr>
      <w:r>
        <w:rPr>
          <w:noProof/>
        </w:rPr>
        <w:t>B.  Ending venue shopping would preserve the integrity of the bankruptcy system</w:t>
      </w:r>
      <w:r>
        <w:rPr>
          <w:noProof/>
        </w:rPr>
        <w:tab/>
      </w:r>
      <w:r>
        <w:rPr>
          <w:noProof/>
        </w:rPr>
        <w:fldChar w:fldCharType="begin"/>
      </w:r>
      <w:r>
        <w:rPr>
          <w:noProof/>
        </w:rPr>
        <w:instrText xml:space="preserve"> PAGEREF _Toc24201324 \h </w:instrText>
      </w:r>
      <w:r>
        <w:rPr>
          <w:noProof/>
        </w:rPr>
      </w:r>
      <w:r>
        <w:rPr>
          <w:noProof/>
        </w:rPr>
        <w:fldChar w:fldCharType="separate"/>
      </w:r>
      <w:r>
        <w:rPr>
          <w:noProof/>
        </w:rPr>
        <w:t>6</w:t>
      </w:r>
      <w:r>
        <w:rPr>
          <w:noProof/>
        </w:rPr>
        <w:fldChar w:fldCharType="end"/>
      </w:r>
    </w:p>
    <w:p w14:paraId="3FB4110C" w14:textId="107552AB" w:rsidR="002C5CDB" w:rsidRDefault="002C5CDB">
      <w:pPr>
        <w:pStyle w:val="TOC1"/>
        <w:rPr>
          <w:rFonts w:asciiTheme="minorHAnsi" w:eastAsiaTheme="minorEastAsia" w:hAnsiTheme="minorHAnsi" w:cstheme="minorBidi"/>
          <w:b w:val="0"/>
          <w:noProof/>
          <w:sz w:val="24"/>
          <w:szCs w:val="24"/>
        </w:rPr>
      </w:pPr>
      <w:r>
        <w:rPr>
          <w:noProof/>
        </w:rPr>
        <w:lastRenderedPageBreak/>
        <w:t>2A EVIDENCE: Bankruptcy Venue Reform Act</w:t>
      </w:r>
      <w:r>
        <w:rPr>
          <w:noProof/>
        </w:rPr>
        <w:tab/>
      </w:r>
      <w:r>
        <w:rPr>
          <w:noProof/>
        </w:rPr>
        <w:fldChar w:fldCharType="begin"/>
      </w:r>
      <w:r>
        <w:rPr>
          <w:noProof/>
        </w:rPr>
        <w:instrText xml:space="preserve"> PAGEREF _Toc24201325 \h </w:instrText>
      </w:r>
      <w:r>
        <w:rPr>
          <w:noProof/>
        </w:rPr>
      </w:r>
      <w:r>
        <w:rPr>
          <w:noProof/>
        </w:rPr>
        <w:fldChar w:fldCharType="separate"/>
      </w:r>
      <w:r>
        <w:rPr>
          <w:noProof/>
        </w:rPr>
        <w:t>7</w:t>
      </w:r>
      <w:r>
        <w:rPr>
          <w:noProof/>
        </w:rPr>
        <w:fldChar w:fldCharType="end"/>
      </w:r>
    </w:p>
    <w:p w14:paraId="79FEBCDE" w14:textId="41865C28" w:rsidR="002C5CDB" w:rsidRDefault="002C5CDB">
      <w:pPr>
        <w:pStyle w:val="TOC2"/>
        <w:rPr>
          <w:rFonts w:asciiTheme="minorHAnsi" w:eastAsiaTheme="minorEastAsia" w:hAnsiTheme="minorHAnsi" w:cstheme="minorBidi"/>
          <w:noProof/>
          <w:sz w:val="24"/>
          <w:szCs w:val="24"/>
        </w:rPr>
      </w:pPr>
      <w:r>
        <w:rPr>
          <w:noProof/>
        </w:rPr>
        <w:t>OPENING QUOTES / AFF PHILOSOPHY</w:t>
      </w:r>
      <w:r>
        <w:rPr>
          <w:noProof/>
        </w:rPr>
        <w:tab/>
      </w:r>
      <w:r>
        <w:rPr>
          <w:noProof/>
        </w:rPr>
        <w:fldChar w:fldCharType="begin"/>
      </w:r>
      <w:r>
        <w:rPr>
          <w:noProof/>
        </w:rPr>
        <w:instrText xml:space="preserve"> PAGEREF _Toc24201326 \h </w:instrText>
      </w:r>
      <w:r>
        <w:rPr>
          <w:noProof/>
        </w:rPr>
      </w:r>
      <w:r>
        <w:rPr>
          <w:noProof/>
        </w:rPr>
        <w:fldChar w:fldCharType="separate"/>
      </w:r>
      <w:r>
        <w:rPr>
          <w:noProof/>
        </w:rPr>
        <w:t>7</w:t>
      </w:r>
      <w:r>
        <w:rPr>
          <w:noProof/>
        </w:rPr>
        <w:fldChar w:fldCharType="end"/>
      </w:r>
    </w:p>
    <w:p w14:paraId="3CA083BD" w14:textId="1594CAA5" w:rsidR="002C5CDB" w:rsidRDefault="002C5CDB">
      <w:pPr>
        <w:pStyle w:val="TOC3"/>
        <w:rPr>
          <w:rFonts w:asciiTheme="minorHAnsi" w:eastAsiaTheme="minorEastAsia" w:hAnsiTheme="minorHAnsi" w:cstheme="minorBidi"/>
          <w:noProof/>
          <w:sz w:val="24"/>
          <w:szCs w:val="24"/>
        </w:rPr>
      </w:pPr>
      <w:r>
        <w:rPr>
          <w:noProof/>
        </w:rPr>
        <w:t>Venue Shopping let the Los Angeles Dodgers baseball team file for bankruptcy in Delaware!</w:t>
      </w:r>
      <w:r>
        <w:rPr>
          <w:noProof/>
        </w:rPr>
        <w:tab/>
      </w:r>
      <w:r>
        <w:rPr>
          <w:noProof/>
        </w:rPr>
        <w:fldChar w:fldCharType="begin"/>
      </w:r>
      <w:r>
        <w:rPr>
          <w:noProof/>
        </w:rPr>
        <w:instrText xml:space="preserve"> PAGEREF _Toc24201327 \h </w:instrText>
      </w:r>
      <w:r>
        <w:rPr>
          <w:noProof/>
        </w:rPr>
      </w:r>
      <w:r>
        <w:rPr>
          <w:noProof/>
        </w:rPr>
        <w:fldChar w:fldCharType="separate"/>
      </w:r>
      <w:r>
        <w:rPr>
          <w:noProof/>
        </w:rPr>
        <w:t>7</w:t>
      </w:r>
      <w:r>
        <w:rPr>
          <w:noProof/>
        </w:rPr>
        <w:fldChar w:fldCharType="end"/>
      </w:r>
    </w:p>
    <w:p w14:paraId="74EAC37F" w14:textId="6A419EB4" w:rsidR="002C5CDB" w:rsidRDefault="002C5CDB">
      <w:pPr>
        <w:pStyle w:val="TOC3"/>
        <w:rPr>
          <w:rFonts w:asciiTheme="minorHAnsi" w:eastAsiaTheme="minorEastAsia" w:hAnsiTheme="minorHAnsi" w:cstheme="minorBidi"/>
          <w:noProof/>
          <w:sz w:val="24"/>
          <w:szCs w:val="24"/>
        </w:rPr>
      </w:pPr>
      <w:r>
        <w:rPr>
          <w:noProof/>
        </w:rPr>
        <w:t>Why do bankruptcy attorneys do venue shopping?  Because they want more favorable outcomes</w:t>
      </w:r>
      <w:r>
        <w:rPr>
          <w:noProof/>
        </w:rPr>
        <w:tab/>
      </w:r>
      <w:r>
        <w:rPr>
          <w:noProof/>
        </w:rPr>
        <w:fldChar w:fldCharType="begin"/>
      </w:r>
      <w:r>
        <w:rPr>
          <w:noProof/>
        </w:rPr>
        <w:instrText xml:space="preserve"> PAGEREF _Toc24201328 \h </w:instrText>
      </w:r>
      <w:r>
        <w:rPr>
          <w:noProof/>
        </w:rPr>
      </w:r>
      <w:r>
        <w:rPr>
          <w:noProof/>
        </w:rPr>
        <w:fldChar w:fldCharType="separate"/>
      </w:r>
      <w:r>
        <w:rPr>
          <w:noProof/>
        </w:rPr>
        <w:t>7</w:t>
      </w:r>
      <w:r>
        <w:rPr>
          <w:noProof/>
        </w:rPr>
        <w:fldChar w:fldCharType="end"/>
      </w:r>
    </w:p>
    <w:p w14:paraId="6D5AD72B" w14:textId="51DD3D4A" w:rsidR="002C5CDB" w:rsidRDefault="002C5CDB">
      <w:pPr>
        <w:pStyle w:val="TOC2"/>
        <w:rPr>
          <w:rFonts w:asciiTheme="minorHAnsi" w:eastAsiaTheme="minorEastAsia" w:hAnsiTheme="minorHAnsi" w:cstheme="minorBidi"/>
          <w:noProof/>
          <w:sz w:val="24"/>
          <w:szCs w:val="24"/>
        </w:rPr>
      </w:pPr>
      <w:r>
        <w:rPr>
          <w:noProof/>
        </w:rPr>
        <w:t>DEFINITIONS / TOPICALITY</w:t>
      </w:r>
      <w:r>
        <w:rPr>
          <w:noProof/>
        </w:rPr>
        <w:tab/>
      </w:r>
      <w:r>
        <w:rPr>
          <w:noProof/>
        </w:rPr>
        <w:fldChar w:fldCharType="begin"/>
      </w:r>
      <w:r>
        <w:rPr>
          <w:noProof/>
        </w:rPr>
        <w:instrText xml:space="preserve"> PAGEREF _Toc24201329 \h </w:instrText>
      </w:r>
      <w:r>
        <w:rPr>
          <w:noProof/>
        </w:rPr>
      </w:r>
      <w:r>
        <w:rPr>
          <w:noProof/>
        </w:rPr>
        <w:fldChar w:fldCharType="separate"/>
      </w:r>
      <w:r>
        <w:rPr>
          <w:noProof/>
        </w:rPr>
        <w:t>7</w:t>
      </w:r>
      <w:r>
        <w:rPr>
          <w:noProof/>
        </w:rPr>
        <w:fldChar w:fldCharType="end"/>
      </w:r>
    </w:p>
    <w:p w14:paraId="50FD8C86" w14:textId="3CB1A900" w:rsidR="002C5CDB" w:rsidRDefault="002C5CDB">
      <w:pPr>
        <w:pStyle w:val="TOC3"/>
        <w:rPr>
          <w:rFonts w:asciiTheme="minorHAnsi" w:eastAsiaTheme="minorEastAsia" w:hAnsiTheme="minorHAnsi" w:cstheme="minorBidi"/>
          <w:noProof/>
          <w:sz w:val="24"/>
          <w:szCs w:val="24"/>
        </w:rPr>
      </w:pPr>
      <w:r>
        <w:rPr>
          <w:noProof/>
        </w:rPr>
        <w:t>Text of H.R.4421 - Bankruptcy Venue Reform Act of 2019 is located here</w:t>
      </w:r>
      <w:r>
        <w:rPr>
          <w:noProof/>
        </w:rPr>
        <w:tab/>
      </w:r>
      <w:r>
        <w:rPr>
          <w:noProof/>
        </w:rPr>
        <w:fldChar w:fldCharType="begin"/>
      </w:r>
      <w:r>
        <w:rPr>
          <w:noProof/>
        </w:rPr>
        <w:instrText xml:space="preserve"> PAGEREF _Toc24201330 \h </w:instrText>
      </w:r>
      <w:r>
        <w:rPr>
          <w:noProof/>
        </w:rPr>
      </w:r>
      <w:r>
        <w:rPr>
          <w:noProof/>
        </w:rPr>
        <w:fldChar w:fldCharType="separate"/>
      </w:r>
      <w:r>
        <w:rPr>
          <w:noProof/>
        </w:rPr>
        <w:t>7</w:t>
      </w:r>
      <w:r>
        <w:rPr>
          <w:noProof/>
        </w:rPr>
        <w:fldChar w:fldCharType="end"/>
      </w:r>
    </w:p>
    <w:p w14:paraId="2A04CCEB" w14:textId="403FD1ED" w:rsidR="002C5CDB" w:rsidRDefault="002C5CDB">
      <w:pPr>
        <w:pStyle w:val="TOC3"/>
        <w:rPr>
          <w:rFonts w:asciiTheme="minorHAnsi" w:eastAsiaTheme="minorEastAsia" w:hAnsiTheme="minorHAnsi" w:cstheme="minorBidi"/>
          <w:noProof/>
          <w:sz w:val="24"/>
          <w:szCs w:val="24"/>
        </w:rPr>
      </w:pPr>
      <w:r>
        <w:rPr>
          <w:noProof/>
        </w:rPr>
        <w:t>Bankruptcy is critical to the financial system</w:t>
      </w:r>
      <w:r>
        <w:rPr>
          <w:noProof/>
        </w:rPr>
        <w:tab/>
      </w:r>
      <w:r>
        <w:rPr>
          <w:noProof/>
        </w:rPr>
        <w:fldChar w:fldCharType="begin"/>
      </w:r>
      <w:r>
        <w:rPr>
          <w:noProof/>
        </w:rPr>
        <w:instrText xml:space="preserve"> PAGEREF _Toc24201331 \h </w:instrText>
      </w:r>
      <w:r>
        <w:rPr>
          <w:noProof/>
        </w:rPr>
      </w:r>
      <w:r>
        <w:rPr>
          <w:noProof/>
        </w:rPr>
        <w:fldChar w:fldCharType="separate"/>
      </w:r>
      <w:r>
        <w:rPr>
          <w:noProof/>
        </w:rPr>
        <w:t>7</w:t>
      </w:r>
      <w:r>
        <w:rPr>
          <w:noProof/>
        </w:rPr>
        <w:fldChar w:fldCharType="end"/>
      </w:r>
    </w:p>
    <w:p w14:paraId="15361DDA" w14:textId="4CB90697" w:rsidR="002C5CDB" w:rsidRDefault="002C5CDB">
      <w:pPr>
        <w:pStyle w:val="TOC3"/>
        <w:rPr>
          <w:rFonts w:asciiTheme="minorHAnsi" w:eastAsiaTheme="minorEastAsia" w:hAnsiTheme="minorHAnsi" w:cstheme="minorBidi"/>
          <w:noProof/>
          <w:sz w:val="24"/>
          <w:szCs w:val="24"/>
        </w:rPr>
      </w:pPr>
      <w:r w:rsidRPr="00E16430">
        <w:rPr>
          <w:noProof/>
          <w:shd w:val="clear" w:color="auto" w:fill="FFFFFF"/>
        </w:rPr>
        <w:t>Financial markets include consumer lending, student loans, checking accounts, credit ratings, delinquent debt collection</w:t>
      </w:r>
      <w:r>
        <w:rPr>
          <w:noProof/>
        </w:rPr>
        <w:tab/>
      </w:r>
      <w:r>
        <w:rPr>
          <w:noProof/>
        </w:rPr>
        <w:fldChar w:fldCharType="begin"/>
      </w:r>
      <w:r>
        <w:rPr>
          <w:noProof/>
        </w:rPr>
        <w:instrText xml:space="preserve"> PAGEREF _Toc24201332 \h </w:instrText>
      </w:r>
      <w:r>
        <w:rPr>
          <w:noProof/>
        </w:rPr>
      </w:r>
      <w:r>
        <w:rPr>
          <w:noProof/>
        </w:rPr>
        <w:fldChar w:fldCharType="separate"/>
      </w:r>
      <w:r>
        <w:rPr>
          <w:noProof/>
        </w:rPr>
        <w:t>7</w:t>
      </w:r>
      <w:r>
        <w:rPr>
          <w:noProof/>
        </w:rPr>
        <w:fldChar w:fldCharType="end"/>
      </w:r>
    </w:p>
    <w:p w14:paraId="5823FCCD" w14:textId="7332057F" w:rsidR="002C5CDB" w:rsidRDefault="002C5CDB">
      <w:pPr>
        <w:pStyle w:val="TOC3"/>
        <w:rPr>
          <w:rFonts w:asciiTheme="minorHAnsi" w:eastAsiaTheme="minorEastAsia" w:hAnsiTheme="minorHAnsi" w:cstheme="minorBidi"/>
          <w:noProof/>
          <w:sz w:val="24"/>
          <w:szCs w:val="24"/>
        </w:rPr>
      </w:pPr>
      <w:r>
        <w:rPr>
          <w:noProof/>
        </w:rPr>
        <w:t>1) Federal.  Bankruptcy courts are under federal jurisdiction  2) Finance.  They litigate debtor-creditor disputes</w:t>
      </w:r>
      <w:r>
        <w:rPr>
          <w:noProof/>
        </w:rPr>
        <w:tab/>
      </w:r>
      <w:r>
        <w:rPr>
          <w:noProof/>
        </w:rPr>
        <w:fldChar w:fldCharType="begin"/>
      </w:r>
      <w:r>
        <w:rPr>
          <w:noProof/>
        </w:rPr>
        <w:instrText xml:space="preserve"> PAGEREF _Toc24201333 \h </w:instrText>
      </w:r>
      <w:r>
        <w:rPr>
          <w:noProof/>
        </w:rPr>
      </w:r>
      <w:r>
        <w:rPr>
          <w:noProof/>
        </w:rPr>
        <w:fldChar w:fldCharType="separate"/>
      </w:r>
      <w:r>
        <w:rPr>
          <w:noProof/>
        </w:rPr>
        <w:t>8</w:t>
      </w:r>
      <w:r>
        <w:rPr>
          <w:noProof/>
        </w:rPr>
        <w:fldChar w:fldCharType="end"/>
      </w:r>
    </w:p>
    <w:p w14:paraId="77A61EAF" w14:textId="7FCC95F0" w:rsidR="002C5CDB" w:rsidRDefault="002C5CDB">
      <w:pPr>
        <w:pStyle w:val="TOC3"/>
        <w:rPr>
          <w:rFonts w:asciiTheme="minorHAnsi" w:eastAsiaTheme="minorEastAsia" w:hAnsiTheme="minorHAnsi" w:cstheme="minorBidi"/>
          <w:noProof/>
          <w:sz w:val="24"/>
          <w:szCs w:val="24"/>
        </w:rPr>
      </w:pPr>
      <w:r>
        <w:rPr>
          <w:noProof/>
        </w:rPr>
        <w:t>“Principal place of business”</w:t>
      </w:r>
      <w:r>
        <w:rPr>
          <w:noProof/>
        </w:rPr>
        <w:tab/>
      </w:r>
      <w:r>
        <w:rPr>
          <w:noProof/>
        </w:rPr>
        <w:fldChar w:fldCharType="begin"/>
      </w:r>
      <w:r>
        <w:rPr>
          <w:noProof/>
        </w:rPr>
        <w:instrText xml:space="preserve"> PAGEREF _Toc24201334 \h </w:instrText>
      </w:r>
      <w:r>
        <w:rPr>
          <w:noProof/>
        </w:rPr>
      </w:r>
      <w:r>
        <w:rPr>
          <w:noProof/>
        </w:rPr>
        <w:fldChar w:fldCharType="separate"/>
      </w:r>
      <w:r>
        <w:rPr>
          <w:noProof/>
        </w:rPr>
        <w:t>8</w:t>
      </w:r>
      <w:r>
        <w:rPr>
          <w:noProof/>
        </w:rPr>
        <w:fldChar w:fldCharType="end"/>
      </w:r>
    </w:p>
    <w:p w14:paraId="3AF41417" w14:textId="114DA60D" w:rsidR="002C5CDB" w:rsidRDefault="002C5CDB">
      <w:pPr>
        <w:pStyle w:val="TOC2"/>
        <w:rPr>
          <w:rFonts w:asciiTheme="minorHAnsi" w:eastAsiaTheme="minorEastAsia" w:hAnsiTheme="minorHAnsi" w:cstheme="minorBidi"/>
          <w:noProof/>
          <w:sz w:val="24"/>
          <w:szCs w:val="24"/>
        </w:rPr>
      </w:pPr>
      <w:r>
        <w:rPr>
          <w:noProof/>
        </w:rPr>
        <w:t>INHERENCY</w:t>
      </w:r>
      <w:r>
        <w:rPr>
          <w:noProof/>
        </w:rPr>
        <w:tab/>
      </w:r>
      <w:r>
        <w:rPr>
          <w:noProof/>
        </w:rPr>
        <w:fldChar w:fldCharType="begin"/>
      </w:r>
      <w:r>
        <w:rPr>
          <w:noProof/>
        </w:rPr>
        <w:instrText xml:space="preserve"> PAGEREF _Toc24201335 \h </w:instrText>
      </w:r>
      <w:r>
        <w:rPr>
          <w:noProof/>
        </w:rPr>
      </w:r>
      <w:r>
        <w:rPr>
          <w:noProof/>
        </w:rPr>
        <w:fldChar w:fldCharType="separate"/>
      </w:r>
      <w:r>
        <w:rPr>
          <w:noProof/>
        </w:rPr>
        <w:t>8</w:t>
      </w:r>
      <w:r>
        <w:rPr>
          <w:noProof/>
        </w:rPr>
        <w:fldChar w:fldCharType="end"/>
      </w:r>
    </w:p>
    <w:p w14:paraId="40B37B37" w14:textId="0A8084F4" w:rsidR="002C5CDB" w:rsidRDefault="002C5CDB">
      <w:pPr>
        <w:pStyle w:val="TOC3"/>
        <w:rPr>
          <w:rFonts w:asciiTheme="minorHAnsi" w:eastAsiaTheme="minorEastAsia" w:hAnsiTheme="minorHAnsi" w:cstheme="minorBidi"/>
          <w:noProof/>
          <w:sz w:val="24"/>
          <w:szCs w:val="24"/>
        </w:rPr>
      </w:pPr>
      <w:r>
        <w:rPr>
          <w:noProof/>
        </w:rPr>
        <w:t>25% of bankruptcies go to just 3 of the 94 districts nationwide</w:t>
      </w:r>
      <w:r>
        <w:rPr>
          <w:noProof/>
        </w:rPr>
        <w:tab/>
      </w:r>
      <w:r>
        <w:rPr>
          <w:noProof/>
        </w:rPr>
        <w:fldChar w:fldCharType="begin"/>
      </w:r>
      <w:r>
        <w:rPr>
          <w:noProof/>
        </w:rPr>
        <w:instrText xml:space="preserve"> PAGEREF _Toc24201336 \h </w:instrText>
      </w:r>
      <w:r>
        <w:rPr>
          <w:noProof/>
        </w:rPr>
      </w:r>
      <w:r>
        <w:rPr>
          <w:noProof/>
        </w:rPr>
        <w:fldChar w:fldCharType="separate"/>
      </w:r>
      <w:r>
        <w:rPr>
          <w:noProof/>
        </w:rPr>
        <w:t>8</w:t>
      </w:r>
      <w:r>
        <w:rPr>
          <w:noProof/>
        </w:rPr>
        <w:fldChar w:fldCharType="end"/>
      </w:r>
    </w:p>
    <w:p w14:paraId="408AC40C" w14:textId="44C1ED7F" w:rsidR="002C5CDB" w:rsidRDefault="002C5CDB">
      <w:pPr>
        <w:pStyle w:val="TOC3"/>
        <w:rPr>
          <w:rFonts w:asciiTheme="minorHAnsi" w:eastAsiaTheme="minorEastAsia" w:hAnsiTheme="minorHAnsi" w:cstheme="minorBidi"/>
          <w:noProof/>
          <w:sz w:val="24"/>
          <w:szCs w:val="24"/>
        </w:rPr>
      </w:pPr>
      <w:r>
        <w:rPr>
          <w:noProof/>
        </w:rPr>
        <w:t>Venue shopping is epidemic.  70% of public company bankruptcies are outside their principal place of business, mostly in Delaware or N.Y.</w:t>
      </w:r>
      <w:r>
        <w:rPr>
          <w:noProof/>
        </w:rPr>
        <w:tab/>
      </w:r>
      <w:r>
        <w:rPr>
          <w:noProof/>
        </w:rPr>
        <w:fldChar w:fldCharType="begin"/>
      </w:r>
      <w:r>
        <w:rPr>
          <w:noProof/>
        </w:rPr>
        <w:instrText xml:space="preserve"> PAGEREF _Toc24201337 \h </w:instrText>
      </w:r>
      <w:r>
        <w:rPr>
          <w:noProof/>
        </w:rPr>
      </w:r>
      <w:r>
        <w:rPr>
          <w:noProof/>
        </w:rPr>
        <w:fldChar w:fldCharType="separate"/>
      </w:r>
      <w:r>
        <w:rPr>
          <w:noProof/>
        </w:rPr>
        <w:t>8</w:t>
      </w:r>
      <w:r>
        <w:rPr>
          <w:noProof/>
        </w:rPr>
        <w:fldChar w:fldCharType="end"/>
      </w:r>
    </w:p>
    <w:p w14:paraId="268FDCBF" w14:textId="746C38C2" w:rsidR="002C5CDB" w:rsidRDefault="002C5CDB">
      <w:pPr>
        <w:pStyle w:val="TOC3"/>
        <w:rPr>
          <w:rFonts w:asciiTheme="minorHAnsi" w:eastAsiaTheme="minorEastAsia" w:hAnsiTheme="minorHAnsi" w:cstheme="minorBidi"/>
          <w:noProof/>
          <w:sz w:val="24"/>
          <w:szCs w:val="24"/>
        </w:rPr>
      </w:pPr>
      <w:r>
        <w:rPr>
          <w:noProof/>
        </w:rPr>
        <w:t>A/T “Venue can be challenged and transferred” –   Doesn’t solve.  It’s too expensive to mount a challenge</w:t>
      </w:r>
      <w:r>
        <w:rPr>
          <w:noProof/>
        </w:rPr>
        <w:tab/>
      </w:r>
      <w:r>
        <w:rPr>
          <w:noProof/>
        </w:rPr>
        <w:fldChar w:fldCharType="begin"/>
      </w:r>
      <w:r>
        <w:rPr>
          <w:noProof/>
        </w:rPr>
        <w:instrText xml:space="preserve"> PAGEREF _Toc24201338 \h </w:instrText>
      </w:r>
      <w:r>
        <w:rPr>
          <w:noProof/>
        </w:rPr>
      </w:r>
      <w:r>
        <w:rPr>
          <w:noProof/>
        </w:rPr>
        <w:fldChar w:fldCharType="separate"/>
      </w:r>
      <w:r>
        <w:rPr>
          <w:noProof/>
        </w:rPr>
        <w:t>9</w:t>
      </w:r>
      <w:r>
        <w:rPr>
          <w:noProof/>
        </w:rPr>
        <w:fldChar w:fldCharType="end"/>
      </w:r>
    </w:p>
    <w:p w14:paraId="781463CD" w14:textId="4A30DA3B" w:rsidR="002C5CDB" w:rsidRDefault="002C5CDB">
      <w:pPr>
        <w:pStyle w:val="TOC3"/>
        <w:rPr>
          <w:rFonts w:asciiTheme="minorHAnsi" w:eastAsiaTheme="minorEastAsia" w:hAnsiTheme="minorHAnsi" w:cstheme="minorBidi"/>
          <w:noProof/>
          <w:sz w:val="24"/>
          <w:szCs w:val="24"/>
        </w:rPr>
      </w:pPr>
      <w:r>
        <w:rPr>
          <w:noProof/>
        </w:rPr>
        <w:t>A/T “Technology or Transfer solve” –  Transfers don’t happen, technology doesn’t balance the playing field</w:t>
      </w:r>
      <w:r>
        <w:rPr>
          <w:noProof/>
        </w:rPr>
        <w:tab/>
      </w:r>
      <w:r>
        <w:rPr>
          <w:noProof/>
        </w:rPr>
        <w:fldChar w:fldCharType="begin"/>
      </w:r>
      <w:r>
        <w:rPr>
          <w:noProof/>
        </w:rPr>
        <w:instrText xml:space="preserve"> PAGEREF _Toc24201339 \h </w:instrText>
      </w:r>
      <w:r>
        <w:rPr>
          <w:noProof/>
        </w:rPr>
      </w:r>
      <w:r>
        <w:rPr>
          <w:noProof/>
        </w:rPr>
        <w:fldChar w:fldCharType="separate"/>
      </w:r>
      <w:r>
        <w:rPr>
          <w:noProof/>
        </w:rPr>
        <w:t>9</w:t>
      </w:r>
      <w:r>
        <w:rPr>
          <w:noProof/>
        </w:rPr>
        <w:fldChar w:fldCharType="end"/>
      </w:r>
    </w:p>
    <w:p w14:paraId="41459633" w14:textId="37123044" w:rsidR="002C5CDB" w:rsidRDefault="002C5CDB">
      <w:pPr>
        <w:pStyle w:val="TOC3"/>
        <w:rPr>
          <w:rFonts w:asciiTheme="minorHAnsi" w:eastAsiaTheme="minorEastAsia" w:hAnsiTheme="minorHAnsi" w:cstheme="minorBidi"/>
          <w:noProof/>
          <w:sz w:val="24"/>
          <w:szCs w:val="24"/>
        </w:rPr>
      </w:pPr>
      <w:r>
        <w:rPr>
          <w:noProof/>
        </w:rPr>
        <w:t>Remote conferencing doesn’t solve venue distance problems</w:t>
      </w:r>
      <w:r>
        <w:rPr>
          <w:noProof/>
        </w:rPr>
        <w:tab/>
      </w:r>
      <w:r>
        <w:rPr>
          <w:noProof/>
        </w:rPr>
        <w:fldChar w:fldCharType="begin"/>
      </w:r>
      <w:r>
        <w:rPr>
          <w:noProof/>
        </w:rPr>
        <w:instrText xml:space="preserve"> PAGEREF _Toc24201340 \h </w:instrText>
      </w:r>
      <w:r>
        <w:rPr>
          <w:noProof/>
        </w:rPr>
      </w:r>
      <w:r>
        <w:rPr>
          <w:noProof/>
        </w:rPr>
        <w:fldChar w:fldCharType="separate"/>
      </w:r>
      <w:r>
        <w:rPr>
          <w:noProof/>
        </w:rPr>
        <w:t>9</w:t>
      </w:r>
      <w:r>
        <w:rPr>
          <w:noProof/>
        </w:rPr>
        <w:fldChar w:fldCharType="end"/>
      </w:r>
    </w:p>
    <w:p w14:paraId="259FFD91" w14:textId="0D2B4714" w:rsidR="002C5CDB" w:rsidRDefault="002C5CDB">
      <w:pPr>
        <w:pStyle w:val="TOC3"/>
        <w:rPr>
          <w:rFonts w:asciiTheme="minorHAnsi" w:eastAsiaTheme="minorEastAsia" w:hAnsiTheme="minorHAnsi" w:cstheme="minorBidi"/>
          <w:noProof/>
          <w:sz w:val="24"/>
          <w:szCs w:val="24"/>
        </w:rPr>
      </w:pPr>
      <w:r>
        <w:rPr>
          <w:noProof/>
        </w:rPr>
        <w:t>Delaware judge refused to send “Energy Future” bankruptcy to Dallas, even though the company headquarters was a 10-minute walk from the Dallas courthouse</w:t>
      </w:r>
      <w:r>
        <w:rPr>
          <w:noProof/>
        </w:rPr>
        <w:tab/>
      </w:r>
      <w:r>
        <w:rPr>
          <w:noProof/>
        </w:rPr>
        <w:fldChar w:fldCharType="begin"/>
      </w:r>
      <w:r>
        <w:rPr>
          <w:noProof/>
        </w:rPr>
        <w:instrText xml:space="preserve"> PAGEREF _Toc24201341 \h </w:instrText>
      </w:r>
      <w:r>
        <w:rPr>
          <w:noProof/>
        </w:rPr>
      </w:r>
      <w:r>
        <w:rPr>
          <w:noProof/>
        </w:rPr>
        <w:fldChar w:fldCharType="separate"/>
      </w:r>
      <w:r>
        <w:rPr>
          <w:noProof/>
        </w:rPr>
        <w:t>9</w:t>
      </w:r>
      <w:r>
        <w:rPr>
          <w:noProof/>
        </w:rPr>
        <w:fldChar w:fldCharType="end"/>
      </w:r>
    </w:p>
    <w:p w14:paraId="05CF71C1" w14:textId="1910E453" w:rsidR="002C5CDB" w:rsidRDefault="002C5CDB">
      <w:pPr>
        <w:pStyle w:val="TOC3"/>
        <w:rPr>
          <w:rFonts w:asciiTheme="minorHAnsi" w:eastAsiaTheme="minorEastAsia" w:hAnsiTheme="minorHAnsi" w:cstheme="minorBidi"/>
          <w:noProof/>
          <w:sz w:val="24"/>
          <w:szCs w:val="24"/>
        </w:rPr>
      </w:pPr>
      <w:r>
        <w:rPr>
          <w:noProof/>
        </w:rPr>
        <w:t>Venue forum shopping isn’t just the big corporations, it’s spreading to smaller ones too</w:t>
      </w:r>
      <w:r>
        <w:rPr>
          <w:noProof/>
        </w:rPr>
        <w:tab/>
      </w:r>
      <w:r>
        <w:rPr>
          <w:noProof/>
        </w:rPr>
        <w:fldChar w:fldCharType="begin"/>
      </w:r>
      <w:r>
        <w:rPr>
          <w:noProof/>
        </w:rPr>
        <w:instrText xml:space="preserve"> PAGEREF _Toc24201342 \h </w:instrText>
      </w:r>
      <w:r>
        <w:rPr>
          <w:noProof/>
        </w:rPr>
      </w:r>
      <w:r>
        <w:rPr>
          <w:noProof/>
        </w:rPr>
        <w:fldChar w:fldCharType="separate"/>
      </w:r>
      <w:r>
        <w:rPr>
          <w:noProof/>
        </w:rPr>
        <w:t>10</w:t>
      </w:r>
      <w:r>
        <w:rPr>
          <w:noProof/>
        </w:rPr>
        <w:fldChar w:fldCharType="end"/>
      </w:r>
    </w:p>
    <w:p w14:paraId="024BB6EF" w14:textId="15326E91" w:rsidR="002C5CDB" w:rsidRDefault="002C5CDB">
      <w:pPr>
        <w:pStyle w:val="TOC2"/>
        <w:rPr>
          <w:rFonts w:asciiTheme="minorHAnsi" w:eastAsiaTheme="minorEastAsia" w:hAnsiTheme="minorHAnsi" w:cstheme="minorBidi"/>
          <w:noProof/>
          <w:sz w:val="24"/>
          <w:szCs w:val="24"/>
        </w:rPr>
      </w:pPr>
      <w:r>
        <w:rPr>
          <w:noProof/>
        </w:rPr>
        <w:t>HARMS</w:t>
      </w:r>
      <w:r>
        <w:rPr>
          <w:noProof/>
        </w:rPr>
        <w:tab/>
      </w:r>
      <w:r>
        <w:rPr>
          <w:noProof/>
        </w:rPr>
        <w:fldChar w:fldCharType="begin"/>
      </w:r>
      <w:r>
        <w:rPr>
          <w:noProof/>
        </w:rPr>
        <w:instrText xml:space="preserve"> PAGEREF _Toc24201343 \h </w:instrText>
      </w:r>
      <w:r>
        <w:rPr>
          <w:noProof/>
        </w:rPr>
      </w:r>
      <w:r>
        <w:rPr>
          <w:noProof/>
        </w:rPr>
        <w:fldChar w:fldCharType="separate"/>
      </w:r>
      <w:r>
        <w:rPr>
          <w:noProof/>
        </w:rPr>
        <w:t>10</w:t>
      </w:r>
      <w:r>
        <w:rPr>
          <w:noProof/>
        </w:rPr>
        <w:fldChar w:fldCharType="end"/>
      </w:r>
    </w:p>
    <w:p w14:paraId="2DB59CAF" w14:textId="146B03C1" w:rsidR="002C5CDB" w:rsidRDefault="002C5CDB">
      <w:pPr>
        <w:pStyle w:val="TOC3"/>
        <w:rPr>
          <w:rFonts w:asciiTheme="minorHAnsi" w:eastAsiaTheme="minorEastAsia" w:hAnsiTheme="minorHAnsi" w:cstheme="minorBidi"/>
          <w:noProof/>
          <w:sz w:val="24"/>
          <w:szCs w:val="24"/>
        </w:rPr>
      </w:pPr>
      <w:r>
        <w:rPr>
          <w:noProof/>
        </w:rPr>
        <w:t>Venue shopping is unjust</w:t>
      </w:r>
      <w:r>
        <w:rPr>
          <w:noProof/>
        </w:rPr>
        <w:tab/>
      </w:r>
      <w:r>
        <w:rPr>
          <w:noProof/>
        </w:rPr>
        <w:fldChar w:fldCharType="begin"/>
      </w:r>
      <w:r>
        <w:rPr>
          <w:noProof/>
        </w:rPr>
        <w:instrText xml:space="preserve"> PAGEREF _Toc24201344 \h </w:instrText>
      </w:r>
      <w:r>
        <w:rPr>
          <w:noProof/>
        </w:rPr>
      </w:r>
      <w:r>
        <w:rPr>
          <w:noProof/>
        </w:rPr>
        <w:fldChar w:fldCharType="separate"/>
      </w:r>
      <w:r>
        <w:rPr>
          <w:noProof/>
        </w:rPr>
        <w:t>10</w:t>
      </w:r>
      <w:r>
        <w:rPr>
          <w:noProof/>
        </w:rPr>
        <w:fldChar w:fldCharType="end"/>
      </w:r>
    </w:p>
    <w:p w14:paraId="2B489F59" w14:textId="0F05ADA7" w:rsidR="002C5CDB" w:rsidRDefault="002C5CDB">
      <w:pPr>
        <w:pStyle w:val="TOC3"/>
        <w:rPr>
          <w:rFonts w:asciiTheme="minorHAnsi" w:eastAsiaTheme="minorEastAsia" w:hAnsiTheme="minorHAnsi" w:cstheme="minorBidi"/>
          <w:noProof/>
          <w:sz w:val="24"/>
          <w:szCs w:val="24"/>
        </w:rPr>
      </w:pPr>
      <w:r w:rsidRPr="00E16430">
        <w:rPr>
          <w:noProof/>
          <w:shd w:val="clear" w:color="auto" w:fill="FFFFFF"/>
        </w:rPr>
        <w:t>Companies could choose any venue to file bankruptcy, making it inconvenient or unfair for creditors</w:t>
      </w:r>
      <w:r>
        <w:rPr>
          <w:noProof/>
        </w:rPr>
        <w:tab/>
      </w:r>
      <w:r>
        <w:rPr>
          <w:noProof/>
        </w:rPr>
        <w:fldChar w:fldCharType="begin"/>
      </w:r>
      <w:r>
        <w:rPr>
          <w:noProof/>
        </w:rPr>
        <w:instrText xml:space="preserve"> PAGEREF _Toc24201345 \h </w:instrText>
      </w:r>
      <w:r>
        <w:rPr>
          <w:noProof/>
        </w:rPr>
      </w:r>
      <w:r>
        <w:rPr>
          <w:noProof/>
        </w:rPr>
        <w:fldChar w:fldCharType="separate"/>
      </w:r>
      <w:r>
        <w:rPr>
          <w:noProof/>
        </w:rPr>
        <w:t>10</w:t>
      </w:r>
      <w:r>
        <w:rPr>
          <w:noProof/>
        </w:rPr>
        <w:fldChar w:fldCharType="end"/>
      </w:r>
    </w:p>
    <w:p w14:paraId="1C15E589" w14:textId="3D2932AF" w:rsidR="002C5CDB" w:rsidRDefault="002C5CDB">
      <w:pPr>
        <w:pStyle w:val="TOC3"/>
        <w:rPr>
          <w:rFonts w:asciiTheme="minorHAnsi" w:eastAsiaTheme="minorEastAsia" w:hAnsiTheme="minorHAnsi" w:cstheme="minorBidi"/>
          <w:noProof/>
          <w:sz w:val="24"/>
          <w:szCs w:val="24"/>
        </w:rPr>
      </w:pPr>
      <w:r>
        <w:rPr>
          <w:noProof/>
        </w:rPr>
        <w:t>Venue shopping denies participation of some of the parties, compromises the integrity of the judicial process</w:t>
      </w:r>
      <w:r>
        <w:rPr>
          <w:noProof/>
        </w:rPr>
        <w:tab/>
      </w:r>
      <w:r>
        <w:rPr>
          <w:noProof/>
        </w:rPr>
        <w:fldChar w:fldCharType="begin"/>
      </w:r>
      <w:r>
        <w:rPr>
          <w:noProof/>
        </w:rPr>
        <w:instrText xml:space="preserve"> PAGEREF _Toc24201346 \h </w:instrText>
      </w:r>
      <w:r>
        <w:rPr>
          <w:noProof/>
        </w:rPr>
      </w:r>
      <w:r>
        <w:rPr>
          <w:noProof/>
        </w:rPr>
        <w:fldChar w:fldCharType="separate"/>
      </w:r>
      <w:r>
        <w:rPr>
          <w:noProof/>
        </w:rPr>
        <w:t>11</w:t>
      </w:r>
      <w:r>
        <w:rPr>
          <w:noProof/>
        </w:rPr>
        <w:fldChar w:fldCharType="end"/>
      </w:r>
    </w:p>
    <w:p w14:paraId="0F138832" w14:textId="598E59DE" w:rsidR="002C5CDB" w:rsidRDefault="002C5CDB">
      <w:pPr>
        <w:pStyle w:val="TOC3"/>
        <w:rPr>
          <w:rFonts w:asciiTheme="minorHAnsi" w:eastAsiaTheme="minorEastAsia" w:hAnsiTheme="minorHAnsi" w:cstheme="minorBidi"/>
          <w:noProof/>
          <w:sz w:val="24"/>
          <w:szCs w:val="24"/>
        </w:rPr>
      </w:pPr>
      <w:r>
        <w:rPr>
          <w:noProof/>
        </w:rPr>
        <w:t>Venue shopping demeans the entire system – it suggests the bankruptcy courts are for sale</w:t>
      </w:r>
      <w:r>
        <w:rPr>
          <w:noProof/>
        </w:rPr>
        <w:tab/>
      </w:r>
      <w:r>
        <w:rPr>
          <w:noProof/>
        </w:rPr>
        <w:fldChar w:fldCharType="begin"/>
      </w:r>
      <w:r>
        <w:rPr>
          <w:noProof/>
        </w:rPr>
        <w:instrText xml:space="preserve"> PAGEREF _Toc24201347 \h </w:instrText>
      </w:r>
      <w:r>
        <w:rPr>
          <w:noProof/>
        </w:rPr>
      </w:r>
      <w:r>
        <w:rPr>
          <w:noProof/>
        </w:rPr>
        <w:fldChar w:fldCharType="separate"/>
      </w:r>
      <w:r>
        <w:rPr>
          <w:noProof/>
        </w:rPr>
        <w:t>11</w:t>
      </w:r>
      <w:r>
        <w:rPr>
          <w:noProof/>
        </w:rPr>
        <w:fldChar w:fldCharType="end"/>
      </w:r>
    </w:p>
    <w:p w14:paraId="7B5CAE51" w14:textId="1C9F3D35" w:rsidR="002C5CDB" w:rsidRDefault="002C5CDB">
      <w:pPr>
        <w:pStyle w:val="TOC3"/>
        <w:rPr>
          <w:rFonts w:asciiTheme="minorHAnsi" w:eastAsiaTheme="minorEastAsia" w:hAnsiTheme="minorHAnsi" w:cstheme="minorBidi"/>
          <w:noProof/>
          <w:sz w:val="24"/>
          <w:szCs w:val="24"/>
        </w:rPr>
      </w:pPr>
      <w:r>
        <w:rPr>
          <w:noProof/>
        </w:rPr>
        <w:t>Judge Bias:  Cases go to Delaware because they do what debtor companies want, and they allow big legal fees</w:t>
      </w:r>
      <w:r>
        <w:rPr>
          <w:noProof/>
        </w:rPr>
        <w:tab/>
      </w:r>
      <w:r>
        <w:rPr>
          <w:noProof/>
        </w:rPr>
        <w:fldChar w:fldCharType="begin"/>
      </w:r>
      <w:r>
        <w:rPr>
          <w:noProof/>
        </w:rPr>
        <w:instrText xml:space="preserve"> PAGEREF _Toc24201348 \h </w:instrText>
      </w:r>
      <w:r>
        <w:rPr>
          <w:noProof/>
        </w:rPr>
      </w:r>
      <w:r>
        <w:rPr>
          <w:noProof/>
        </w:rPr>
        <w:fldChar w:fldCharType="separate"/>
      </w:r>
      <w:r>
        <w:rPr>
          <w:noProof/>
        </w:rPr>
        <w:t>11</w:t>
      </w:r>
      <w:r>
        <w:rPr>
          <w:noProof/>
        </w:rPr>
        <w:fldChar w:fldCharType="end"/>
      </w:r>
    </w:p>
    <w:p w14:paraId="2D98568F" w14:textId="57A17199" w:rsidR="002C5CDB" w:rsidRDefault="002C5CDB">
      <w:pPr>
        <w:pStyle w:val="TOC3"/>
        <w:rPr>
          <w:rFonts w:asciiTheme="minorHAnsi" w:eastAsiaTheme="minorEastAsia" w:hAnsiTheme="minorHAnsi" w:cstheme="minorBidi"/>
          <w:noProof/>
          <w:sz w:val="24"/>
          <w:szCs w:val="24"/>
        </w:rPr>
      </w:pPr>
      <w:r>
        <w:rPr>
          <w:noProof/>
        </w:rPr>
        <w:t>Legitimacy is undermined because parties are blocked from participating in the legal process</w:t>
      </w:r>
      <w:r>
        <w:rPr>
          <w:noProof/>
        </w:rPr>
        <w:tab/>
      </w:r>
      <w:r>
        <w:rPr>
          <w:noProof/>
        </w:rPr>
        <w:fldChar w:fldCharType="begin"/>
      </w:r>
      <w:r>
        <w:rPr>
          <w:noProof/>
        </w:rPr>
        <w:instrText xml:space="preserve"> PAGEREF _Toc24201349 \h </w:instrText>
      </w:r>
      <w:r>
        <w:rPr>
          <w:noProof/>
        </w:rPr>
      </w:r>
      <w:r>
        <w:rPr>
          <w:noProof/>
        </w:rPr>
        <w:fldChar w:fldCharType="separate"/>
      </w:r>
      <w:r>
        <w:rPr>
          <w:noProof/>
        </w:rPr>
        <w:t>11</w:t>
      </w:r>
      <w:r>
        <w:rPr>
          <w:noProof/>
        </w:rPr>
        <w:fldChar w:fldCharType="end"/>
      </w:r>
    </w:p>
    <w:p w14:paraId="483D6C9D" w14:textId="1751EA15" w:rsidR="002C5CDB" w:rsidRDefault="002C5CDB">
      <w:pPr>
        <w:pStyle w:val="TOC3"/>
        <w:rPr>
          <w:rFonts w:asciiTheme="minorHAnsi" w:eastAsiaTheme="minorEastAsia" w:hAnsiTheme="minorHAnsi" w:cstheme="minorBidi"/>
          <w:noProof/>
          <w:sz w:val="24"/>
          <w:szCs w:val="24"/>
        </w:rPr>
      </w:pPr>
      <w:r>
        <w:rPr>
          <w:noProof/>
        </w:rPr>
        <w:t>Impact:  Legitimacy is key to the functioning of the judicial branch of government and to public respect for the law</w:t>
      </w:r>
      <w:r>
        <w:rPr>
          <w:noProof/>
        </w:rPr>
        <w:tab/>
      </w:r>
      <w:r>
        <w:rPr>
          <w:noProof/>
        </w:rPr>
        <w:fldChar w:fldCharType="begin"/>
      </w:r>
      <w:r>
        <w:rPr>
          <w:noProof/>
        </w:rPr>
        <w:instrText xml:space="preserve"> PAGEREF _Toc24201350 \h </w:instrText>
      </w:r>
      <w:r>
        <w:rPr>
          <w:noProof/>
        </w:rPr>
      </w:r>
      <w:r>
        <w:rPr>
          <w:noProof/>
        </w:rPr>
        <w:fldChar w:fldCharType="separate"/>
      </w:r>
      <w:r>
        <w:rPr>
          <w:noProof/>
        </w:rPr>
        <w:t>12</w:t>
      </w:r>
      <w:r>
        <w:rPr>
          <w:noProof/>
        </w:rPr>
        <w:fldChar w:fldCharType="end"/>
      </w:r>
    </w:p>
    <w:p w14:paraId="777C9381" w14:textId="2542A113" w:rsidR="002C5CDB" w:rsidRDefault="002C5CDB">
      <w:pPr>
        <w:pStyle w:val="TOC3"/>
        <w:rPr>
          <w:rFonts w:asciiTheme="minorHAnsi" w:eastAsiaTheme="minorEastAsia" w:hAnsiTheme="minorHAnsi" w:cstheme="minorBidi"/>
          <w:noProof/>
          <w:sz w:val="24"/>
          <w:szCs w:val="24"/>
        </w:rPr>
      </w:pPr>
      <w:r>
        <w:rPr>
          <w:noProof/>
        </w:rPr>
        <w:t>Venue shopping promotes mismanagement.  Debtors choose courts that will not supervise their mismanagement or jeopardize their cash bonuses</w:t>
      </w:r>
      <w:r>
        <w:rPr>
          <w:noProof/>
        </w:rPr>
        <w:tab/>
      </w:r>
      <w:r>
        <w:rPr>
          <w:noProof/>
        </w:rPr>
        <w:fldChar w:fldCharType="begin"/>
      </w:r>
      <w:r>
        <w:rPr>
          <w:noProof/>
        </w:rPr>
        <w:instrText xml:space="preserve"> PAGEREF _Toc24201351 \h </w:instrText>
      </w:r>
      <w:r>
        <w:rPr>
          <w:noProof/>
        </w:rPr>
      </w:r>
      <w:r>
        <w:rPr>
          <w:noProof/>
        </w:rPr>
        <w:fldChar w:fldCharType="separate"/>
      </w:r>
      <w:r>
        <w:rPr>
          <w:noProof/>
        </w:rPr>
        <w:t>12</w:t>
      </w:r>
      <w:r>
        <w:rPr>
          <w:noProof/>
        </w:rPr>
        <w:fldChar w:fldCharType="end"/>
      </w:r>
    </w:p>
    <w:p w14:paraId="0133BF37" w14:textId="6EBDA2EA" w:rsidR="002C5CDB" w:rsidRDefault="002C5CDB">
      <w:pPr>
        <w:pStyle w:val="TOC3"/>
        <w:rPr>
          <w:rFonts w:asciiTheme="minorHAnsi" w:eastAsiaTheme="minorEastAsia" w:hAnsiTheme="minorHAnsi" w:cstheme="minorBidi"/>
          <w:noProof/>
          <w:sz w:val="24"/>
          <w:szCs w:val="24"/>
        </w:rPr>
      </w:pPr>
      <w:r>
        <w:rPr>
          <w:noProof/>
        </w:rPr>
        <w:t>Real life example:  A Memphis, Tenn. Company filed for bankruptcy in Delaware. It cost the landlord $4000-$5000 because he didn’t have the resources to resist</w:t>
      </w:r>
      <w:r>
        <w:rPr>
          <w:noProof/>
        </w:rPr>
        <w:tab/>
      </w:r>
      <w:r>
        <w:rPr>
          <w:noProof/>
        </w:rPr>
        <w:fldChar w:fldCharType="begin"/>
      </w:r>
      <w:r>
        <w:rPr>
          <w:noProof/>
        </w:rPr>
        <w:instrText xml:space="preserve"> PAGEREF _Toc24201352 \h </w:instrText>
      </w:r>
      <w:r>
        <w:rPr>
          <w:noProof/>
        </w:rPr>
      </w:r>
      <w:r>
        <w:rPr>
          <w:noProof/>
        </w:rPr>
        <w:fldChar w:fldCharType="separate"/>
      </w:r>
      <w:r>
        <w:rPr>
          <w:noProof/>
        </w:rPr>
        <w:t>13</w:t>
      </w:r>
      <w:r>
        <w:rPr>
          <w:noProof/>
        </w:rPr>
        <w:fldChar w:fldCharType="end"/>
      </w:r>
    </w:p>
    <w:p w14:paraId="393B647E" w14:textId="5597F6AA" w:rsidR="002C5CDB" w:rsidRDefault="002C5CDB">
      <w:pPr>
        <w:pStyle w:val="TOC3"/>
        <w:rPr>
          <w:rFonts w:asciiTheme="minorHAnsi" w:eastAsiaTheme="minorEastAsia" w:hAnsiTheme="minorHAnsi" w:cstheme="minorBidi"/>
          <w:noProof/>
          <w:sz w:val="24"/>
          <w:szCs w:val="24"/>
        </w:rPr>
      </w:pPr>
      <w:r>
        <w:rPr>
          <w:noProof/>
        </w:rPr>
        <w:t>Remote venues hurt small creditors and workers because they can’t collect on their claims</w:t>
      </w:r>
      <w:r>
        <w:rPr>
          <w:noProof/>
        </w:rPr>
        <w:tab/>
      </w:r>
      <w:r>
        <w:rPr>
          <w:noProof/>
        </w:rPr>
        <w:fldChar w:fldCharType="begin"/>
      </w:r>
      <w:r>
        <w:rPr>
          <w:noProof/>
        </w:rPr>
        <w:instrText xml:space="preserve"> PAGEREF _Toc24201353 \h </w:instrText>
      </w:r>
      <w:r>
        <w:rPr>
          <w:noProof/>
        </w:rPr>
      </w:r>
      <w:r>
        <w:rPr>
          <w:noProof/>
        </w:rPr>
        <w:fldChar w:fldCharType="separate"/>
      </w:r>
      <w:r>
        <w:rPr>
          <w:noProof/>
        </w:rPr>
        <w:t>13</w:t>
      </w:r>
      <w:r>
        <w:rPr>
          <w:noProof/>
        </w:rPr>
        <w:fldChar w:fldCharType="end"/>
      </w:r>
    </w:p>
    <w:p w14:paraId="368B0281" w14:textId="7E756752" w:rsidR="002C5CDB" w:rsidRDefault="002C5CDB">
      <w:pPr>
        <w:pStyle w:val="TOC3"/>
        <w:rPr>
          <w:rFonts w:asciiTheme="minorHAnsi" w:eastAsiaTheme="minorEastAsia" w:hAnsiTheme="minorHAnsi" w:cstheme="minorBidi"/>
          <w:noProof/>
          <w:sz w:val="24"/>
          <w:szCs w:val="24"/>
        </w:rPr>
      </w:pPr>
      <w:r>
        <w:rPr>
          <w:noProof/>
        </w:rPr>
        <w:t>Small creditors are disenfranchised – they can’t go to some far-away state to collect debts in the bankruptcy process</w:t>
      </w:r>
      <w:r>
        <w:rPr>
          <w:noProof/>
        </w:rPr>
        <w:tab/>
      </w:r>
      <w:r>
        <w:rPr>
          <w:noProof/>
        </w:rPr>
        <w:fldChar w:fldCharType="begin"/>
      </w:r>
      <w:r>
        <w:rPr>
          <w:noProof/>
        </w:rPr>
        <w:instrText xml:space="preserve"> PAGEREF _Toc24201354 \h </w:instrText>
      </w:r>
      <w:r>
        <w:rPr>
          <w:noProof/>
        </w:rPr>
      </w:r>
      <w:r>
        <w:rPr>
          <w:noProof/>
        </w:rPr>
        <w:fldChar w:fldCharType="separate"/>
      </w:r>
      <w:r>
        <w:rPr>
          <w:noProof/>
        </w:rPr>
        <w:t>13</w:t>
      </w:r>
      <w:r>
        <w:rPr>
          <w:noProof/>
        </w:rPr>
        <w:fldChar w:fldCharType="end"/>
      </w:r>
    </w:p>
    <w:p w14:paraId="0DEBCDCE" w14:textId="59D7C6E2" w:rsidR="002C5CDB" w:rsidRDefault="002C5CDB">
      <w:pPr>
        <w:pStyle w:val="TOC3"/>
        <w:rPr>
          <w:rFonts w:asciiTheme="minorHAnsi" w:eastAsiaTheme="minorEastAsia" w:hAnsiTheme="minorHAnsi" w:cstheme="minorBidi"/>
          <w:noProof/>
          <w:sz w:val="24"/>
          <w:szCs w:val="24"/>
        </w:rPr>
      </w:pPr>
      <w:r>
        <w:rPr>
          <w:noProof/>
        </w:rPr>
        <w:t>Remote venues hurt small creditors, employees and other stakeholders</w:t>
      </w:r>
      <w:r>
        <w:rPr>
          <w:noProof/>
        </w:rPr>
        <w:tab/>
      </w:r>
      <w:r>
        <w:rPr>
          <w:noProof/>
        </w:rPr>
        <w:fldChar w:fldCharType="begin"/>
      </w:r>
      <w:r>
        <w:rPr>
          <w:noProof/>
        </w:rPr>
        <w:instrText xml:space="preserve"> PAGEREF _Toc24201355 \h </w:instrText>
      </w:r>
      <w:r>
        <w:rPr>
          <w:noProof/>
        </w:rPr>
      </w:r>
      <w:r>
        <w:rPr>
          <w:noProof/>
        </w:rPr>
        <w:fldChar w:fldCharType="separate"/>
      </w:r>
      <w:r>
        <w:rPr>
          <w:noProof/>
        </w:rPr>
        <w:t>13</w:t>
      </w:r>
      <w:r>
        <w:rPr>
          <w:noProof/>
        </w:rPr>
        <w:fldChar w:fldCharType="end"/>
      </w:r>
    </w:p>
    <w:p w14:paraId="2A43217E" w14:textId="2C783DAC" w:rsidR="002C5CDB" w:rsidRDefault="002C5CDB">
      <w:pPr>
        <w:pStyle w:val="TOC3"/>
        <w:rPr>
          <w:rFonts w:asciiTheme="minorHAnsi" w:eastAsiaTheme="minorEastAsia" w:hAnsiTheme="minorHAnsi" w:cstheme="minorBidi"/>
          <w:noProof/>
          <w:sz w:val="24"/>
          <w:szCs w:val="24"/>
        </w:rPr>
      </w:pPr>
      <w:r>
        <w:rPr>
          <w:noProof/>
        </w:rPr>
        <w:t>Remote bankruptcy filing is unjust</w:t>
      </w:r>
      <w:r>
        <w:rPr>
          <w:noProof/>
        </w:rPr>
        <w:tab/>
      </w:r>
      <w:r>
        <w:rPr>
          <w:noProof/>
        </w:rPr>
        <w:fldChar w:fldCharType="begin"/>
      </w:r>
      <w:r>
        <w:rPr>
          <w:noProof/>
        </w:rPr>
        <w:instrText xml:space="preserve"> PAGEREF _Toc24201356 \h </w:instrText>
      </w:r>
      <w:r>
        <w:rPr>
          <w:noProof/>
        </w:rPr>
      </w:r>
      <w:r>
        <w:rPr>
          <w:noProof/>
        </w:rPr>
        <w:fldChar w:fldCharType="separate"/>
      </w:r>
      <w:r>
        <w:rPr>
          <w:noProof/>
        </w:rPr>
        <w:t>14</w:t>
      </w:r>
      <w:r>
        <w:rPr>
          <w:noProof/>
        </w:rPr>
        <w:fldChar w:fldCharType="end"/>
      </w:r>
    </w:p>
    <w:p w14:paraId="6C68A774" w14:textId="3E675813" w:rsidR="002C5CDB" w:rsidRDefault="002C5CDB">
      <w:pPr>
        <w:pStyle w:val="TOC3"/>
        <w:rPr>
          <w:rFonts w:asciiTheme="minorHAnsi" w:eastAsiaTheme="minorEastAsia" w:hAnsiTheme="minorHAnsi" w:cstheme="minorBidi"/>
          <w:noProof/>
          <w:sz w:val="24"/>
          <w:szCs w:val="24"/>
        </w:rPr>
      </w:pPr>
      <w:r>
        <w:rPr>
          <w:noProof/>
        </w:rPr>
        <w:t>Communities suffer:  Bankruptcy should be handled locally</w:t>
      </w:r>
      <w:r>
        <w:rPr>
          <w:noProof/>
        </w:rPr>
        <w:tab/>
      </w:r>
      <w:r>
        <w:rPr>
          <w:noProof/>
        </w:rPr>
        <w:fldChar w:fldCharType="begin"/>
      </w:r>
      <w:r>
        <w:rPr>
          <w:noProof/>
        </w:rPr>
        <w:instrText xml:space="preserve"> PAGEREF _Toc24201357 \h </w:instrText>
      </w:r>
      <w:r>
        <w:rPr>
          <w:noProof/>
        </w:rPr>
      </w:r>
      <w:r>
        <w:rPr>
          <w:noProof/>
        </w:rPr>
        <w:fldChar w:fldCharType="separate"/>
      </w:r>
      <w:r>
        <w:rPr>
          <w:noProof/>
        </w:rPr>
        <w:t>14</w:t>
      </w:r>
      <w:r>
        <w:rPr>
          <w:noProof/>
        </w:rPr>
        <w:fldChar w:fldCharType="end"/>
      </w:r>
    </w:p>
    <w:p w14:paraId="05ECEE54" w14:textId="3AC3FF29" w:rsidR="002C5CDB" w:rsidRDefault="002C5CDB">
      <w:pPr>
        <w:pStyle w:val="TOC3"/>
        <w:rPr>
          <w:rFonts w:asciiTheme="minorHAnsi" w:eastAsiaTheme="minorEastAsia" w:hAnsiTheme="minorHAnsi" w:cstheme="minorBidi"/>
          <w:noProof/>
          <w:sz w:val="24"/>
          <w:szCs w:val="24"/>
        </w:rPr>
      </w:pPr>
      <w:r>
        <w:rPr>
          <w:noProof/>
        </w:rPr>
        <w:t>Skeel is wrong:  Impacts on small businesses and affected individuals alone justify local venues for bankruptcy cases</w:t>
      </w:r>
      <w:r>
        <w:rPr>
          <w:noProof/>
        </w:rPr>
        <w:tab/>
      </w:r>
      <w:r>
        <w:rPr>
          <w:noProof/>
        </w:rPr>
        <w:fldChar w:fldCharType="begin"/>
      </w:r>
      <w:r>
        <w:rPr>
          <w:noProof/>
        </w:rPr>
        <w:instrText xml:space="preserve"> PAGEREF _Toc24201358 \h </w:instrText>
      </w:r>
      <w:r>
        <w:rPr>
          <w:noProof/>
        </w:rPr>
      </w:r>
      <w:r>
        <w:rPr>
          <w:noProof/>
        </w:rPr>
        <w:fldChar w:fldCharType="separate"/>
      </w:r>
      <w:r>
        <w:rPr>
          <w:noProof/>
        </w:rPr>
        <w:t>14</w:t>
      </w:r>
      <w:r>
        <w:rPr>
          <w:noProof/>
        </w:rPr>
        <w:fldChar w:fldCharType="end"/>
      </w:r>
    </w:p>
    <w:p w14:paraId="6D7FB041" w14:textId="12EC91FD" w:rsidR="002C5CDB" w:rsidRDefault="002C5CDB">
      <w:pPr>
        <w:pStyle w:val="TOC3"/>
        <w:rPr>
          <w:rFonts w:asciiTheme="minorHAnsi" w:eastAsiaTheme="minorEastAsia" w:hAnsiTheme="minorHAnsi" w:cstheme="minorBidi"/>
          <w:noProof/>
          <w:sz w:val="24"/>
          <w:szCs w:val="24"/>
        </w:rPr>
      </w:pPr>
      <w:r>
        <w:rPr>
          <w:noProof/>
        </w:rPr>
        <w:t>Venue shopping helps promote mismanagement</w:t>
      </w:r>
      <w:r>
        <w:rPr>
          <w:noProof/>
        </w:rPr>
        <w:tab/>
      </w:r>
      <w:r>
        <w:rPr>
          <w:noProof/>
        </w:rPr>
        <w:fldChar w:fldCharType="begin"/>
      </w:r>
      <w:r>
        <w:rPr>
          <w:noProof/>
        </w:rPr>
        <w:instrText xml:space="preserve"> PAGEREF _Toc24201359 \h </w:instrText>
      </w:r>
      <w:r>
        <w:rPr>
          <w:noProof/>
        </w:rPr>
      </w:r>
      <w:r>
        <w:rPr>
          <w:noProof/>
        </w:rPr>
        <w:fldChar w:fldCharType="separate"/>
      </w:r>
      <w:r>
        <w:rPr>
          <w:noProof/>
        </w:rPr>
        <w:t>15</w:t>
      </w:r>
      <w:r>
        <w:rPr>
          <w:noProof/>
        </w:rPr>
        <w:fldChar w:fldCharType="end"/>
      </w:r>
    </w:p>
    <w:p w14:paraId="5699A01A" w14:textId="44E81D0F" w:rsidR="002C5CDB" w:rsidRDefault="002C5CDB">
      <w:pPr>
        <w:pStyle w:val="TOC3"/>
        <w:rPr>
          <w:rFonts w:asciiTheme="minorHAnsi" w:eastAsiaTheme="minorEastAsia" w:hAnsiTheme="minorHAnsi" w:cstheme="minorBidi"/>
          <w:noProof/>
          <w:sz w:val="24"/>
          <w:szCs w:val="24"/>
        </w:rPr>
      </w:pPr>
      <w:r>
        <w:rPr>
          <w:noProof/>
        </w:rPr>
        <w:t>A/T “Bankruptcy is different from other types of cases” –  Other cases have the same issues, and it doesn’t justify remote venues</w:t>
      </w:r>
      <w:r>
        <w:rPr>
          <w:noProof/>
        </w:rPr>
        <w:tab/>
      </w:r>
      <w:r>
        <w:rPr>
          <w:noProof/>
        </w:rPr>
        <w:fldChar w:fldCharType="begin"/>
      </w:r>
      <w:r>
        <w:rPr>
          <w:noProof/>
        </w:rPr>
        <w:instrText xml:space="preserve"> PAGEREF _Toc24201360 \h </w:instrText>
      </w:r>
      <w:r>
        <w:rPr>
          <w:noProof/>
        </w:rPr>
      </w:r>
      <w:r>
        <w:rPr>
          <w:noProof/>
        </w:rPr>
        <w:fldChar w:fldCharType="separate"/>
      </w:r>
      <w:r>
        <w:rPr>
          <w:noProof/>
        </w:rPr>
        <w:t>15</w:t>
      </w:r>
      <w:r>
        <w:rPr>
          <w:noProof/>
        </w:rPr>
        <w:fldChar w:fldCharType="end"/>
      </w:r>
    </w:p>
    <w:p w14:paraId="5E9FF443" w14:textId="20FFD531" w:rsidR="002C5CDB" w:rsidRDefault="002C5CDB">
      <w:pPr>
        <w:pStyle w:val="TOC3"/>
        <w:rPr>
          <w:rFonts w:asciiTheme="minorHAnsi" w:eastAsiaTheme="minorEastAsia" w:hAnsiTheme="minorHAnsi" w:cstheme="minorBidi"/>
          <w:noProof/>
          <w:sz w:val="24"/>
          <w:szCs w:val="24"/>
        </w:rPr>
      </w:pPr>
      <w:r>
        <w:rPr>
          <w:noProof/>
        </w:rPr>
        <w:t>A/T “Bankruptcy venue should be like lawsuit venue” – No, bankruptcy is different</w:t>
      </w:r>
      <w:r>
        <w:rPr>
          <w:noProof/>
        </w:rPr>
        <w:tab/>
      </w:r>
      <w:r>
        <w:rPr>
          <w:noProof/>
        </w:rPr>
        <w:fldChar w:fldCharType="begin"/>
      </w:r>
      <w:r>
        <w:rPr>
          <w:noProof/>
        </w:rPr>
        <w:instrText xml:space="preserve"> PAGEREF _Toc24201361 \h </w:instrText>
      </w:r>
      <w:r>
        <w:rPr>
          <w:noProof/>
        </w:rPr>
      </w:r>
      <w:r>
        <w:rPr>
          <w:noProof/>
        </w:rPr>
        <w:fldChar w:fldCharType="separate"/>
      </w:r>
      <w:r>
        <w:rPr>
          <w:noProof/>
        </w:rPr>
        <w:t>15</w:t>
      </w:r>
      <w:r>
        <w:rPr>
          <w:noProof/>
        </w:rPr>
        <w:fldChar w:fldCharType="end"/>
      </w:r>
    </w:p>
    <w:p w14:paraId="396AA0FB" w14:textId="1A8191AE" w:rsidR="002C5CDB" w:rsidRDefault="002C5CDB">
      <w:pPr>
        <w:pStyle w:val="TOC3"/>
        <w:rPr>
          <w:rFonts w:asciiTheme="minorHAnsi" w:eastAsiaTheme="minorEastAsia" w:hAnsiTheme="minorHAnsi" w:cstheme="minorBidi"/>
          <w:noProof/>
          <w:sz w:val="24"/>
          <w:szCs w:val="24"/>
        </w:rPr>
      </w:pPr>
      <w:r>
        <w:rPr>
          <w:noProof/>
        </w:rPr>
        <w:t>A/T “Importance of Delaware state law on companies incorporated there” – Doesn’t justify moving cases to Delaware</w:t>
      </w:r>
      <w:r>
        <w:rPr>
          <w:noProof/>
        </w:rPr>
        <w:tab/>
      </w:r>
      <w:r>
        <w:rPr>
          <w:noProof/>
        </w:rPr>
        <w:fldChar w:fldCharType="begin"/>
      </w:r>
      <w:r>
        <w:rPr>
          <w:noProof/>
        </w:rPr>
        <w:instrText xml:space="preserve"> PAGEREF _Toc24201362 \h </w:instrText>
      </w:r>
      <w:r>
        <w:rPr>
          <w:noProof/>
        </w:rPr>
      </w:r>
      <w:r>
        <w:rPr>
          <w:noProof/>
        </w:rPr>
        <w:fldChar w:fldCharType="separate"/>
      </w:r>
      <w:r>
        <w:rPr>
          <w:noProof/>
        </w:rPr>
        <w:t>16</w:t>
      </w:r>
      <w:r>
        <w:rPr>
          <w:noProof/>
        </w:rPr>
        <w:fldChar w:fldCharType="end"/>
      </w:r>
    </w:p>
    <w:p w14:paraId="4AAE9393" w14:textId="06FB9366" w:rsidR="002C5CDB" w:rsidRDefault="002C5CDB">
      <w:pPr>
        <w:pStyle w:val="TOC2"/>
        <w:rPr>
          <w:rFonts w:asciiTheme="minorHAnsi" w:eastAsiaTheme="minorEastAsia" w:hAnsiTheme="minorHAnsi" w:cstheme="minorBidi"/>
          <w:noProof/>
          <w:sz w:val="24"/>
          <w:szCs w:val="24"/>
        </w:rPr>
      </w:pPr>
      <w:r>
        <w:rPr>
          <w:noProof/>
        </w:rPr>
        <w:t>SOLVENCY / ADVOCACY</w:t>
      </w:r>
      <w:r>
        <w:rPr>
          <w:noProof/>
        </w:rPr>
        <w:tab/>
      </w:r>
      <w:r>
        <w:rPr>
          <w:noProof/>
        </w:rPr>
        <w:fldChar w:fldCharType="begin"/>
      </w:r>
      <w:r>
        <w:rPr>
          <w:noProof/>
        </w:rPr>
        <w:instrText xml:space="preserve"> PAGEREF _Toc24201363 \h </w:instrText>
      </w:r>
      <w:r>
        <w:rPr>
          <w:noProof/>
        </w:rPr>
      </w:r>
      <w:r>
        <w:rPr>
          <w:noProof/>
        </w:rPr>
        <w:fldChar w:fldCharType="separate"/>
      </w:r>
      <w:r>
        <w:rPr>
          <w:noProof/>
        </w:rPr>
        <w:t>16</w:t>
      </w:r>
      <w:r>
        <w:rPr>
          <w:noProof/>
        </w:rPr>
        <w:fldChar w:fldCharType="end"/>
      </w:r>
    </w:p>
    <w:p w14:paraId="266058CD" w14:textId="2C4CFB48" w:rsidR="002C5CDB" w:rsidRDefault="002C5CDB">
      <w:pPr>
        <w:pStyle w:val="TOC3"/>
        <w:rPr>
          <w:rFonts w:asciiTheme="minorHAnsi" w:eastAsiaTheme="minorEastAsia" w:hAnsiTheme="minorHAnsi" w:cstheme="minorBidi"/>
          <w:noProof/>
          <w:sz w:val="24"/>
          <w:szCs w:val="24"/>
        </w:rPr>
      </w:pPr>
      <w:r>
        <w:rPr>
          <w:noProof/>
        </w:rPr>
        <w:t>Principal place of business should be the venue for bankruptcy law</w:t>
      </w:r>
      <w:r>
        <w:rPr>
          <w:noProof/>
        </w:rPr>
        <w:tab/>
      </w:r>
      <w:r>
        <w:rPr>
          <w:noProof/>
        </w:rPr>
        <w:fldChar w:fldCharType="begin"/>
      </w:r>
      <w:r>
        <w:rPr>
          <w:noProof/>
        </w:rPr>
        <w:instrText xml:space="preserve"> PAGEREF _Toc24201364 \h </w:instrText>
      </w:r>
      <w:r>
        <w:rPr>
          <w:noProof/>
        </w:rPr>
      </w:r>
      <w:r>
        <w:rPr>
          <w:noProof/>
        </w:rPr>
        <w:fldChar w:fldCharType="separate"/>
      </w:r>
      <w:r>
        <w:rPr>
          <w:noProof/>
        </w:rPr>
        <w:t>16</w:t>
      </w:r>
      <w:r>
        <w:rPr>
          <w:noProof/>
        </w:rPr>
        <w:fldChar w:fldCharType="end"/>
      </w:r>
    </w:p>
    <w:p w14:paraId="593B879D" w14:textId="7351ABC0" w:rsidR="002C5CDB" w:rsidRDefault="002C5CDB">
      <w:pPr>
        <w:pStyle w:val="TOC3"/>
        <w:rPr>
          <w:rFonts w:asciiTheme="minorHAnsi" w:eastAsiaTheme="minorEastAsia" w:hAnsiTheme="minorHAnsi" w:cstheme="minorBidi"/>
          <w:noProof/>
          <w:sz w:val="24"/>
          <w:szCs w:val="24"/>
        </w:rPr>
      </w:pPr>
      <w:r>
        <w:rPr>
          <w:noProof/>
        </w:rPr>
        <w:t>Local adjudication of bankruptcy is better than venue shopping because a local venue can manage the community impacts better than a remote court</w:t>
      </w:r>
      <w:r>
        <w:rPr>
          <w:noProof/>
        </w:rPr>
        <w:tab/>
      </w:r>
      <w:r>
        <w:rPr>
          <w:noProof/>
        </w:rPr>
        <w:fldChar w:fldCharType="begin"/>
      </w:r>
      <w:r>
        <w:rPr>
          <w:noProof/>
        </w:rPr>
        <w:instrText xml:space="preserve"> PAGEREF _Toc24201365 \h </w:instrText>
      </w:r>
      <w:r>
        <w:rPr>
          <w:noProof/>
        </w:rPr>
      </w:r>
      <w:r>
        <w:rPr>
          <w:noProof/>
        </w:rPr>
        <w:fldChar w:fldCharType="separate"/>
      </w:r>
      <w:r>
        <w:rPr>
          <w:noProof/>
        </w:rPr>
        <w:t>16</w:t>
      </w:r>
      <w:r>
        <w:rPr>
          <w:noProof/>
        </w:rPr>
        <w:fldChar w:fldCharType="end"/>
      </w:r>
    </w:p>
    <w:p w14:paraId="5BCE7564" w14:textId="2628F42F" w:rsidR="002C5CDB" w:rsidRDefault="002C5CDB">
      <w:pPr>
        <w:pStyle w:val="TOC3"/>
        <w:rPr>
          <w:rFonts w:asciiTheme="minorHAnsi" w:eastAsiaTheme="minorEastAsia" w:hAnsiTheme="minorHAnsi" w:cstheme="minorBidi"/>
          <w:noProof/>
          <w:sz w:val="24"/>
          <w:szCs w:val="24"/>
        </w:rPr>
      </w:pPr>
      <w:r>
        <w:rPr>
          <w:noProof/>
        </w:rPr>
        <w:t>Fairness to creditors requires end to bankruptcy venue shopping, and requirement to file at the principal place of business</w:t>
      </w:r>
      <w:r>
        <w:rPr>
          <w:noProof/>
        </w:rPr>
        <w:tab/>
      </w:r>
      <w:r>
        <w:rPr>
          <w:noProof/>
        </w:rPr>
        <w:fldChar w:fldCharType="begin"/>
      </w:r>
      <w:r>
        <w:rPr>
          <w:noProof/>
        </w:rPr>
        <w:instrText xml:space="preserve"> PAGEREF _Toc24201366 \h </w:instrText>
      </w:r>
      <w:r>
        <w:rPr>
          <w:noProof/>
        </w:rPr>
      </w:r>
      <w:r>
        <w:rPr>
          <w:noProof/>
        </w:rPr>
        <w:fldChar w:fldCharType="separate"/>
      </w:r>
      <w:r>
        <w:rPr>
          <w:noProof/>
        </w:rPr>
        <w:t>17</w:t>
      </w:r>
      <w:r>
        <w:rPr>
          <w:noProof/>
        </w:rPr>
        <w:fldChar w:fldCharType="end"/>
      </w:r>
    </w:p>
    <w:p w14:paraId="1A7A51A0" w14:textId="4063297D" w:rsidR="002C5CDB" w:rsidRDefault="002C5CDB">
      <w:pPr>
        <w:pStyle w:val="TOC3"/>
        <w:rPr>
          <w:rFonts w:asciiTheme="minorHAnsi" w:eastAsiaTheme="minorEastAsia" w:hAnsiTheme="minorHAnsi" w:cstheme="minorBidi"/>
          <w:noProof/>
          <w:sz w:val="24"/>
          <w:szCs w:val="24"/>
        </w:rPr>
      </w:pPr>
      <w:r>
        <w:rPr>
          <w:noProof/>
        </w:rPr>
        <w:t>Example: PG&amp;E case.  It proves local bankruptcy courts can successfully manage cases</w:t>
      </w:r>
      <w:r>
        <w:rPr>
          <w:noProof/>
        </w:rPr>
        <w:tab/>
      </w:r>
      <w:r>
        <w:rPr>
          <w:noProof/>
        </w:rPr>
        <w:fldChar w:fldCharType="begin"/>
      </w:r>
      <w:r>
        <w:rPr>
          <w:noProof/>
        </w:rPr>
        <w:instrText xml:space="preserve"> PAGEREF _Toc24201367 \h </w:instrText>
      </w:r>
      <w:r>
        <w:rPr>
          <w:noProof/>
        </w:rPr>
      </w:r>
      <w:r>
        <w:rPr>
          <w:noProof/>
        </w:rPr>
        <w:fldChar w:fldCharType="separate"/>
      </w:r>
      <w:r>
        <w:rPr>
          <w:noProof/>
        </w:rPr>
        <w:t>17</w:t>
      </w:r>
      <w:r>
        <w:rPr>
          <w:noProof/>
        </w:rPr>
        <w:fldChar w:fldCharType="end"/>
      </w:r>
    </w:p>
    <w:p w14:paraId="619A27DC" w14:textId="57A75A9A" w:rsidR="002C5CDB" w:rsidRDefault="002C5CDB">
      <w:pPr>
        <w:pStyle w:val="TOC3"/>
        <w:rPr>
          <w:rFonts w:asciiTheme="minorHAnsi" w:eastAsiaTheme="minorEastAsia" w:hAnsiTheme="minorHAnsi" w:cstheme="minorBidi"/>
          <w:noProof/>
          <w:sz w:val="24"/>
          <w:szCs w:val="24"/>
        </w:rPr>
      </w:pPr>
      <w:r>
        <w:rPr>
          <w:noProof/>
        </w:rPr>
        <w:t>Restricting venue restores bankruptcy court legitimacy</w:t>
      </w:r>
      <w:r>
        <w:rPr>
          <w:noProof/>
        </w:rPr>
        <w:tab/>
      </w:r>
      <w:r>
        <w:rPr>
          <w:noProof/>
        </w:rPr>
        <w:fldChar w:fldCharType="begin"/>
      </w:r>
      <w:r>
        <w:rPr>
          <w:noProof/>
        </w:rPr>
        <w:instrText xml:space="preserve"> PAGEREF _Toc24201368 \h </w:instrText>
      </w:r>
      <w:r>
        <w:rPr>
          <w:noProof/>
        </w:rPr>
      </w:r>
      <w:r>
        <w:rPr>
          <w:noProof/>
        </w:rPr>
        <w:fldChar w:fldCharType="separate"/>
      </w:r>
      <w:r>
        <w:rPr>
          <w:noProof/>
        </w:rPr>
        <w:t>17</w:t>
      </w:r>
      <w:r>
        <w:rPr>
          <w:noProof/>
        </w:rPr>
        <w:fldChar w:fldCharType="end"/>
      </w:r>
    </w:p>
    <w:p w14:paraId="71F820B9" w14:textId="52C1B114" w:rsidR="002C5CDB" w:rsidRDefault="002C5CDB">
      <w:pPr>
        <w:pStyle w:val="TOC2"/>
        <w:rPr>
          <w:rFonts w:asciiTheme="minorHAnsi" w:eastAsiaTheme="minorEastAsia" w:hAnsiTheme="minorHAnsi" w:cstheme="minorBidi"/>
          <w:noProof/>
          <w:sz w:val="24"/>
          <w:szCs w:val="24"/>
        </w:rPr>
      </w:pPr>
      <w:r>
        <w:rPr>
          <w:noProof/>
        </w:rPr>
        <w:t>DISADVANTAGE RESPONSES</w:t>
      </w:r>
      <w:r>
        <w:rPr>
          <w:noProof/>
        </w:rPr>
        <w:tab/>
      </w:r>
      <w:r>
        <w:rPr>
          <w:noProof/>
        </w:rPr>
        <w:fldChar w:fldCharType="begin"/>
      </w:r>
      <w:r>
        <w:rPr>
          <w:noProof/>
        </w:rPr>
        <w:instrText xml:space="preserve"> PAGEREF _Toc24201369 \h </w:instrText>
      </w:r>
      <w:r>
        <w:rPr>
          <w:noProof/>
        </w:rPr>
      </w:r>
      <w:r>
        <w:rPr>
          <w:noProof/>
        </w:rPr>
        <w:fldChar w:fldCharType="separate"/>
      </w:r>
      <w:r>
        <w:rPr>
          <w:noProof/>
        </w:rPr>
        <w:t>18</w:t>
      </w:r>
      <w:r>
        <w:rPr>
          <w:noProof/>
        </w:rPr>
        <w:fldChar w:fldCharType="end"/>
      </w:r>
    </w:p>
    <w:p w14:paraId="570C586F" w14:textId="1BBE65FB" w:rsidR="002C5CDB" w:rsidRDefault="002C5CDB">
      <w:pPr>
        <w:pStyle w:val="TOC3"/>
        <w:rPr>
          <w:rFonts w:asciiTheme="minorHAnsi" w:eastAsiaTheme="minorEastAsia" w:hAnsiTheme="minorHAnsi" w:cstheme="minorBidi"/>
          <w:noProof/>
          <w:sz w:val="24"/>
          <w:szCs w:val="24"/>
        </w:rPr>
      </w:pPr>
      <w:r>
        <w:rPr>
          <w:noProof/>
        </w:rPr>
        <w:t>A/T “Lose the expertise of experienced judges in magnet courts” – Other judges are well qualified</w:t>
      </w:r>
      <w:r>
        <w:rPr>
          <w:noProof/>
        </w:rPr>
        <w:tab/>
      </w:r>
      <w:r>
        <w:rPr>
          <w:noProof/>
        </w:rPr>
        <w:fldChar w:fldCharType="begin"/>
      </w:r>
      <w:r>
        <w:rPr>
          <w:noProof/>
        </w:rPr>
        <w:instrText xml:space="preserve"> PAGEREF _Toc24201370 \h </w:instrText>
      </w:r>
      <w:r>
        <w:rPr>
          <w:noProof/>
        </w:rPr>
      </w:r>
      <w:r>
        <w:rPr>
          <w:noProof/>
        </w:rPr>
        <w:fldChar w:fldCharType="separate"/>
      </w:r>
      <w:r>
        <w:rPr>
          <w:noProof/>
        </w:rPr>
        <w:t>18</w:t>
      </w:r>
      <w:r>
        <w:rPr>
          <w:noProof/>
        </w:rPr>
        <w:fldChar w:fldCharType="end"/>
      </w:r>
    </w:p>
    <w:p w14:paraId="0FA984A7" w14:textId="1A6DF491" w:rsidR="002C5CDB" w:rsidRDefault="002C5CDB">
      <w:pPr>
        <w:pStyle w:val="TOC3"/>
        <w:rPr>
          <w:rFonts w:asciiTheme="minorHAnsi" w:eastAsiaTheme="minorEastAsia" w:hAnsiTheme="minorHAnsi" w:cstheme="minorBidi"/>
          <w:noProof/>
          <w:sz w:val="24"/>
          <w:szCs w:val="24"/>
        </w:rPr>
      </w:pPr>
      <w:r>
        <w:rPr>
          <w:noProof/>
        </w:rPr>
        <w:t>A/T “Lose the expertise of experienced judges in magnet courts” –Other courts are well qualified and we should use them</w:t>
      </w:r>
      <w:r>
        <w:rPr>
          <w:noProof/>
        </w:rPr>
        <w:tab/>
      </w:r>
      <w:r>
        <w:rPr>
          <w:noProof/>
        </w:rPr>
        <w:fldChar w:fldCharType="begin"/>
      </w:r>
      <w:r>
        <w:rPr>
          <w:noProof/>
        </w:rPr>
        <w:instrText xml:space="preserve"> PAGEREF _Toc24201371 \h </w:instrText>
      </w:r>
      <w:r>
        <w:rPr>
          <w:noProof/>
        </w:rPr>
      </w:r>
      <w:r>
        <w:rPr>
          <w:noProof/>
        </w:rPr>
        <w:fldChar w:fldCharType="separate"/>
      </w:r>
      <w:r>
        <w:rPr>
          <w:noProof/>
        </w:rPr>
        <w:t>18</w:t>
      </w:r>
      <w:r>
        <w:rPr>
          <w:noProof/>
        </w:rPr>
        <w:fldChar w:fldCharType="end"/>
      </w:r>
    </w:p>
    <w:p w14:paraId="7552A47A" w14:textId="17269BE7" w:rsidR="002C5CDB" w:rsidRDefault="002C5CDB">
      <w:pPr>
        <w:pStyle w:val="TOC3"/>
        <w:rPr>
          <w:rFonts w:asciiTheme="minorHAnsi" w:eastAsiaTheme="minorEastAsia" w:hAnsiTheme="minorHAnsi" w:cstheme="minorBidi"/>
          <w:noProof/>
          <w:sz w:val="24"/>
          <w:szCs w:val="24"/>
        </w:rPr>
      </w:pPr>
      <w:r>
        <w:rPr>
          <w:noProof/>
        </w:rPr>
        <w:t>A/T “Lost expertise” – Non-magnet court judges will not be a problem</w:t>
      </w:r>
      <w:r>
        <w:rPr>
          <w:noProof/>
        </w:rPr>
        <w:tab/>
      </w:r>
      <w:r>
        <w:rPr>
          <w:noProof/>
        </w:rPr>
        <w:fldChar w:fldCharType="begin"/>
      </w:r>
      <w:r>
        <w:rPr>
          <w:noProof/>
        </w:rPr>
        <w:instrText xml:space="preserve"> PAGEREF _Toc24201372 \h </w:instrText>
      </w:r>
      <w:r>
        <w:rPr>
          <w:noProof/>
        </w:rPr>
      </w:r>
      <w:r>
        <w:rPr>
          <w:noProof/>
        </w:rPr>
        <w:fldChar w:fldCharType="separate"/>
      </w:r>
      <w:r>
        <w:rPr>
          <w:noProof/>
        </w:rPr>
        <w:t>18</w:t>
      </w:r>
      <w:r>
        <w:rPr>
          <w:noProof/>
        </w:rPr>
        <w:fldChar w:fldCharType="end"/>
      </w:r>
    </w:p>
    <w:p w14:paraId="7E7CC3CB" w14:textId="0EA1A916" w:rsidR="002C5CDB" w:rsidRDefault="002C5CDB">
      <w:pPr>
        <w:pStyle w:val="TOC3"/>
        <w:rPr>
          <w:rFonts w:asciiTheme="minorHAnsi" w:eastAsiaTheme="minorEastAsia" w:hAnsiTheme="minorHAnsi" w:cstheme="minorBidi"/>
          <w:noProof/>
          <w:sz w:val="24"/>
          <w:szCs w:val="24"/>
        </w:rPr>
      </w:pPr>
      <w:r>
        <w:rPr>
          <w:noProof/>
        </w:rPr>
        <w:t>A/T “Lost expertise if we move away from Delaware and N.Y.” –  No evidence those judges are better than others</w:t>
      </w:r>
      <w:r>
        <w:rPr>
          <w:noProof/>
        </w:rPr>
        <w:tab/>
      </w:r>
      <w:r>
        <w:rPr>
          <w:noProof/>
        </w:rPr>
        <w:fldChar w:fldCharType="begin"/>
      </w:r>
      <w:r>
        <w:rPr>
          <w:noProof/>
        </w:rPr>
        <w:instrText xml:space="preserve"> PAGEREF _Toc24201373 \h </w:instrText>
      </w:r>
      <w:r>
        <w:rPr>
          <w:noProof/>
        </w:rPr>
      </w:r>
      <w:r>
        <w:rPr>
          <w:noProof/>
        </w:rPr>
        <w:fldChar w:fldCharType="separate"/>
      </w:r>
      <w:r>
        <w:rPr>
          <w:noProof/>
        </w:rPr>
        <w:t>19</w:t>
      </w:r>
      <w:r>
        <w:rPr>
          <w:noProof/>
        </w:rPr>
        <w:fldChar w:fldCharType="end"/>
      </w:r>
    </w:p>
    <w:p w14:paraId="13703D1B" w14:textId="54DAF5A9" w:rsidR="002C5CDB" w:rsidRDefault="002C5CDB">
      <w:pPr>
        <w:pStyle w:val="TOC1"/>
        <w:rPr>
          <w:rFonts w:asciiTheme="minorHAnsi" w:eastAsiaTheme="minorEastAsia" w:hAnsiTheme="minorHAnsi" w:cstheme="minorBidi"/>
          <w:b w:val="0"/>
          <w:noProof/>
          <w:sz w:val="24"/>
          <w:szCs w:val="24"/>
        </w:rPr>
      </w:pPr>
      <w:r>
        <w:rPr>
          <w:noProof/>
        </w:rPr>
        <w:t>Works Cited</w:t>
      </w:r>
      <w:r>
        <w:rPr>
          <w:noProof/>
        </w:rPr>
        <w:tab/>
      </w:r>
      <w:r>
        <w:rPr>
          <w:noProof/>
        </w:rPr>
        <w:fldChar w:fldCharType="begin"/>
      </w:r>
      <w:r>
        <w:rPr>
          <w:noProof/>
        </w:rPr>
        <w:instrText xml:space="preserve"> PAGEREF _Toc24201374 \h </w:instrText>
      </w:r>
      <w:r>
        <w:rPr>
          <w:noProof/>
        </w:rPr>
      </w:r>
      <w:r>
        <w:rPr>
          <w:noProof/>
        </w:rPr>
        <w:fldChar w:fldCharType="separate"/>
      </w:r>
      <w:r>
        <w:rPr>
          <w:noProof/>
        </w:rPr>
        <w:t>20</w:t>
      </w:r>
      <w:r>
        <w:rPr>
          <w:noProof/>
        </w:rPr>
        <w:fldChar w:fldCharType="end"/>
      </w:r>
    </w:p>
    <w:p w14:paraId="029270D7" w14:textId="77777777" w:rsidR="00AF1D3F" w:rsidRDefault="00AF1D3F" w:rsidP="00AF1D3F">
      <w:pPr>
        <w:pStyle w:val="TOC2"/>
        <w:sectPr w:rsidR="00AF1D3F" w:rsidSect="00AF1D3F">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20" w:footer="720" w:gutter="0"/>
          <w:cols w:space="720"/>
        </w:sectPr>
      </w:pPr>
      <w:r>
        <w:fldChar w:fldCharType="end"/>
      </w:r>
    </w:p>
    <w:p w14:paraId="141250D4" w14:textId="3E3028DC" w:rsidR="00CD2A66" w:rsidRDefault="00573DF6" w:rsidP="000D7CFA">
      <w:pPr>
        <w:pStyle w:val="Title2"/>
      </w:pPr>
      <w:bookmarkStart w:id="1" w:name="_Toc24201306"/>
      <w:r>
        <w:lastRenderedPageBreak/>
        <w:t xml:space="preserve">Location </w:t>
      </w:r>
      <w:proofErr w:type="spellStart"/>
      <w:r>
        <w:t>Location</w:t>
      </w:r>
      <w:proofErr w:type="spellEnd"/>
      <w:r>
        <w:t xml:space="preserve"> </w:t>
      </w:r>
      <w:proofErr w:type="spellStart"/>
      <w:r>
        <w:t>Location</w:t>
      </w:r>
      <w:proofErr w:type="spellEnd"/>
      <w:r w:rsidR="00CD2A66" w:rsidRPr="00B964DA">
        <w:t>: The Case for</w:t>
      </w:r>
      <w:r w:rsidR="0006707D">
        <w:t xml:space="preserve"> the</w:t>
      </w:r>
      <w:r w:rsidR="005B462F">
        <w:t xml:space="preserve"> </w:t>
      </w:r>
      <w:r w:rsidR="000D3D65">
        <w:t>Bankruptcy</w:t>
      </w:r>
      <w:r w:rsidR="0069755F">
        <w:t xml:space="preserve"> </w:t>
      </w:r>
      <w:r w:rsidR="0006707D">
        <w:t>Venue</w:t>
      </w:r>
      <w:r w:rsidR="000D3D65">
        <w:t xml:space="preserve"> Reform</w:t>
      </w:r>
      <w:r w:rsidR="00422C88">
        <w:t xml:space="preserve"> </w:t>
      </w:r>
      <w:r w:rsidR="0006707D">
        <w:t>Act</w:t>
      </w:r>
      <w:bookmarkEnd w:id="1"/>
    </w:p>
    <w:p w14:paraId="11A058D9" w14:textId="35B9F95B" w:rsidR="007B1A56" w:rsidRPr="00C906DC" w:rsidRDefault="003804EC" w:rsidP="00C906DC">
      <w:pPr>
        <w:pStyle w:val="Constructive"/>
      </w:pPr>
      <w:r w:rsidRPr="00AD7F7E">
        <w:t xml:space="preserve">A corporation in Dallas, Texas, falls upon hard times and considers bankruptcy.  Most of its employees and creditors live in Texas. Its headquarters building is only a 10-minute walk from the Dallas federal bankruptcy court.  </w:t>
      </w:r>
      <w:r w:rsidR="000B0A7B" w:rsidRPr="00AD7F7E">
        <w:t xml:space="preserve">Yet they file for bankruptcy, </w:t>
      </w:r>
      <w:r w:rsidRPr="00C906DC">
        <w:t xml:space="preserve">of all places, </w:t>
      </w:r>
      <w:r w:rsidR="000B0A7B" w:rsidRPr="00C906DC">
        <w:t xml:space="preserve">at a federal court in </w:t>
      </w:r>
      <w:r w:rsidRPr="00C906DC">
        <w:t>Delaware.  We’ll show you why they would do that</w:t>
      </w:r>
      <w:r w:rsidR="00A507C7" w:rsidRPr="00C906DC">
        <w:t xml:space="preserve"> </w:t>
      </w:r>
      <w:r w:rsidRPr="00C906DC">
        <w:t xml:space="preserve">and why you should put a stop to it, as we </w:t>
      </w:r>
      <w:r w:rsidR="00CD2A66" w:rsidRPr="00C906DC">
        <w:t>affirm</w:t>
      </w:r>
      <w:r w:rsidR="007B1A56" w:rsidRPr="00C906DC">
        <w:t xml:space="preserve"> that:</w:t>
      </w:r>
      <w:r w:rsidR="007B1A56" w:rsidRPr="00C906DC">
        <w:rPr>
          <w:rFonts w:eastAsia="MS Mincho"/>
        </w:rPr>
        <w:t xml:space="preserve"> The United States federal government </w:t>
      </w:r>
      <w:r w:rsidR="007B1A56" w:rsidRPr="00C906DC">
        <w:t>should substantially reform its banking, finance, and/or monetary policy.</w:t>
      </w:r>
    </w:p>
    <w:p w14:paraId="6CDB5FFF" w14:textId="77777777" w:rsidR="00CD2A66" w:rsidRPr="006549D2" w:rsidRDefault="00CD2A66">
      <w:pPr>
        <w:pStyle w:val="Contention1"/>
      </w:pPr>
      <w:bookmarkStart w:id="2" w:name="_Toc24201307"/>
      <w:r w:rsidRPr="006549D2">
        <w:t>OBSERVATION 1. We offer the following DEFINITIONS.</w:t>
      </w:r>
      <w:bookmarkEnd w:id="2"/>
    </w:p>
    <w:p w14:paraId="6BA31458" w14:textId="6C0F7AFB" w:rsidR="007B1A56" w:rsidRDefault="007B1A56" w:rsidP="00C906DC">
      <w:pPr>
        <w:pStyle w:val="Contention2"/>
      </w:pPr>
      <w:bookmarkStart w:id="3" w:name="_Toc24201308"/>
      <w:r>
        <w:t>Substantial</w:t>
      </w:r>
      <w:bookmarkEnd w:id="3"/>
    </w:p>
    <w:p w14:paraId="7D3B4DC4" w14:textId="3F782DD1" w:rsidR="007B1A56" w:rsidRDefault="007B1A56" w:rsidP="00C906DC">
      <w:pPr>
        <w:pStyle w:val="Citation3"/>
        <w:rPr>
          <w:b/>
        </w:rPr>
      </w:pPr>
      <w:bookmarkStart w:id="4" w:name="_Toc24200165"/>
      <w:r w:rsidRPr="00C906DC">
        <w:rPr>
          <w:u w:val="single"/>
        </w:rPr>
        <w:t>Merriam Webster</w:t>
      </w:r>
      <w:r w:rsidRPr="000D7CFA">
        <w:t xml:space="preserve"> Online Dictionary</w:t>
      </w:r>
      <w:r>
        <w:t xml:space="preserve"> </w:t>
      </w:r>
      <w:r w:rsidRPr="00C906DC">
        <w:rPr>
          <w:u w:val="single"/>
        </w:rPr>
        <w:t>2019</w:t>
      </w:r>
      <w:r>
        <w:t xml:space="preserve"> </w:t>
      </w:r>
      <w:hyperlink r:id="rId14" w:history="1">
        <w:r>
          <w:rPr>
            <w:rStyle w:val="Hyperlink"/>
          </w:rPr>
          <w:t>https://www.merriam-webster.com/dictionary/substantial</w:t>
        </w:r>
        <w:bookmarkEnd w:id="4"/>
      </w:hyperlink>
    </w:p>
    <w:p w14:paraId="781340DB" w14:textId="58EFA5C1" w:rsidR="00FE45F1" w:rsidRPr="007B1A56" w:rsidRDefault="007B1A56">
      <w:pPr>
        <w:pStyle w:val="Evidence"/>
      </w:pPr>
      <w:r w:rsidRPr="00C906DC">
        <w:rPr>
          <w:rStyle w:val="Strong"/>
          <w:b w:val="0"/>
          <w:bCs/>
        </w:rPr>
        <w:t>“</w:t>
      </w:r>
      <w:r w:rsidRPr="00C906DC">
        <w:t>considerable in quantity </w:t>
      </w:r>
      <w:r w:rsidRPr="00C906DC">
        <w:rPr>
          <w:rStyle w:val="Strong"/>
          <w:b w:val="0"/>
          <w:bCs/>
        </w:rPr>
        <w:t>: </w:t>
      </w:r>
      <w:r w:rsidRPr="00C906DC">
        <w:t xml:space="preserve">significantly great” </w:t>
      </w:r>
    </w:p>
    <w:p w14:paraId="5C8F5BC7" w14:textId="77777777" w:rsidR="007B1A56" w:rsidRDefault="00AC6E5A" w:rsidP="000D7CFA">
      <w:pPr>
        <w:pStyle w:val="Evidence"/>
      </w:pPr>
      <w:r>
        <w:rPr>
          <w:b/>
        </w:rPr>
        <w:t>Reform</w:t>
      </w:r>
      <w:r w:rsidR="00FE45F1">
        <w:t xml:space="preserve">: </w:t>
      </w:r>
    </w:p>
    <w:p w14:paraId="556C5DB2" w14:textId="29F8FC91" w:rsidR="007B1A56" w:rsidRDefault="007B1A56" w:rsidP="00C906DC">
      <w:pPr>
        <w:pStyle w:val="Citation3"/>
      </w:pPr>
      <w:bookmarkStart w:id="5" w:name="_Toc24200166"/>
      <w:r w:rsidRPr="008C66C1">
        <w:rPr>
          <w:u w:val="single"/>
        </w:rPr>
        <w:t>Merriam Webster</w:t>
      </w:r>
      <w:r w:rsidRPr="000D7CFA">
        <w:t xml:space="preserve"> Online Dictionary</w:t>
      </w:r>
      <w:r>
        <w:t xml:space="preserve"> </w:t>
      </w:r>
      <w:r w:rsidRPr="008C66C1">
        <w:rPr>
          <w:u w:val="single"/>
        </w:rPr>
        <w:t>2019</w:t>
      </w:r>
      <w:r>
        <w:rPr>
          <w:u w:val="single"/>
        </w:rPr>
        <w:t xml:space="preserve"> </w:t>
      </w:r>
      <w:hyperlink r:id="rId15" w:history="1">
        <w:r>
          <w:rPr>
            <w:rStyle w:val="Hyperlink"/>
          </w:rPr>
          <w:t>https://www.merriam-webster.com/dictionary/reform</w:t>
        </w:r>
        <w:bookmarkEnd w:id="5"/>
      </w:hyperlink>
    </w:p>
    <w:p w14:paraId="61D9BAF5" w14:textId="77777777" w:rsidR="003D1A68" w:rsidRDefault="00FE45F1">
      <w:pPr>
        <w:pStyle w:val="Evidence"/>
      </w:pPr>
      <w:r w:rsidRPr="007B1A56">
        <w:t xml:space="preserve"> “</w:t>
      </w:r>
      <w:r w:rsidR="00AC6E5A" w:rsidRPr="007B1A56">
        <w:t> to amend or improve by change of form or removal of faults or abuses</w:t>
      </w:r>
      <w:r w:rsidRPr="007B1A56">
        <w:t xml:space="preserve">” </w:t>
      </w:r>
    </w:p>
    <w:p w14:paraId="62FFDB9E" w14:textId="218D5E59" w:rsidR="003D1A68" w:rsidRDefault="003D1A68" w:rsidP="00C906DC">
      <w:pPr>
        <w:pStyle w:val="Contention3"/>
      </w:pPr>
      <w:r>
        <w:t>Bankruptcy.   It’s part of our financial system</w:t>
      </w:r>
    </w:p>
    <w:p w14:paraId="47693308" w14:textId="39A84EA7" w:rsidR="003D1A68" w:rsidRDefault="003D1A68" w:rsidP="00C906DC">
      <w:pPr>
        <w:pStyle w:val="Citation3"/>
        <w:rPr>
          <w:sz w:val="16"/>
          <w:szCs w:val="16"/>
        </w:rPr>
      </w:pPr>
      <w:bookmarkStart w:id="6" w:name="_Toc24200167"/>
      <w:r w:rsidRPr="00C906DC">
        <w:rPr>
          <w:u w:val="single"/>
        </w:rPr>
        <w:t>Pres. George W. Bush 2005</w:t>
      </w:r>
      <w:r>
        <w:t xml:space="preserve">.  “Remarks on Signing the Bankruptcy Abuse Prevention and Consumer Protection Act of 205” </w:t>
      </w:r>
      <w:hyperlink r:id="rId16" w:anchor="v=onepage&amp;q=%22our%20financial%20system%20stronger%20and%20better%22%20%22integrity%20to%20the%20bankruptcy%22&amp;f=false" w:history="1">
        <w:r w:rsidRPr="00C906DC">
          <w:rPr>
            <w:rStyle w:val="Hyperlink"/>
            <w:sz w:val="16"/>
            <w:szCs w:val="16"/>
          </w:rPr>
          <w:t>https://books.google.com/books?id=TtUc4s1BCqwC&amp;pg=PA639&amp;lpg=PA639&amp;dq=%22our+financial+system+stronger+and+better%22+%22integrity+to+the+bankruptcy%22&amp;source=bl&amp;ots=9aHizct5FA&amp;sig=ACfU3U1j6eNnvGePW1Qvn9ao0OYPu0JaKQ&amp;hl=en&amp;sa=X&amp;ved=2ahUKEwid9pTNiM7lAhVGc98KHd4zBwQQ6AEwAXoECAcQAQ#v=onepage&amp;q=%22our%20financial%20system%20stronger%20and%20better%22%20%22integrity%20to%20the%20bankruptcy%22&amp;f=false</w:t>
        </w:r>
        <w:bookmarkEnd w:id="6"/>
      </w:hyperlink>
    </w:p>
    <w:p w14:paraId="08DE2F81" w14:textId="0EF280B0" w:rsidR="00872B1E" w:rsidRPr="00872B1E" w:rsidRDefault="00872B1E">
      <w:pPr>
        <w:pStyle w:val="Evidence"/>
      </w:pPr>
      <w:r>
        <w:t xml:space="preserve">Today we take an important action to strengthen – to continue strengthening our Nation’s economy.  </w:t>
      </w:r>
      <w:r w:rsidRPr="00C906DC">
        <w:rPr>
          <w:u w:val="single"/>
        </w:rPr>
        <w:t>The bipartisan bill I’m about to sign makes commonsense reforms to our bankruptcy laws.  By restoring integrity to the bankruptcy process, this law will make our financial system stronger and better.</w:t>
      </w:r>
      <w:r>
        <w:t xml:space="preserve"> </w:t>
      </w:r>
    </w:p>
    <w:p w14:paraId="0F920335" w14:textId="299A4FF9" w:rsidR="00646838" w:rsidRDefault="00D00676">
      <w:pPr>
        <w:pStyle w:val="Contention1"/>
      </w:pPr>
      <w:bookmarkStart w:id="7" w:name="_Toc24201309"/>
      <w:r>
        <w:t xml:space="preserve">OBSERVATION 2. </w:t>
      </w:r>
      <w:r w:rsidR="005B693E">
        <w:t xml:space="preserve"> </w:t>
      </w:r>
      <w:r w:rsidR="002A4E4D">
        <w:t>INHERENCY</w:t>
      </w:r>
      <w:r w:rsidR="00BD5EC8">
        <w:t xml:space="preserve"> or the conditions of the Status Quo</w:t>
      </w:r>
      <w:r w:rsidR="002A4E4D">
        <w:t xml:space="preserve">. </w:t>
      </w:r>
      <w:r w:rsidR="003A712C">
        <w:t>Two key FACTS</w:t>
      </w:r>
      <w:bookmarkEnd w:id="7"/>
    </w:p>
    <w:p w14:paraId="2F671C4D" w14:textId="77777777" w:rsidR="003A712C" w:rsidRDefault="003A712C" w:rsidP="003A712C">
      <w:pPr>
        <w:pStyle w:val="Contention1"/>
      </w:pPr>
      <w:bookmarkStart w:id="8" w:name="_Toc24201310"/>
      <w:r>
        <w:t>FACT 1. Venue Shopping.</w:t>
      </w:r>
      <w:bookmarkEnd w:id="8"/>
    </w:p>
    <w:p w14:paraId="202D0B01" w14:textId="14E70726" w:rsidR="000670A6" w:rsidRDefault="00872B1E" w:rsidP="000D7CFA">
      <w:pPr>
        <w:pStyle w:val="Contention2"/>
      </w:pPr>
      <w:bookmarkStart w:id="9" w:name="_Toc24201311"/>
      <w:r>
        <w:t>F</w:t>
      </w:r>
      <w:r w:rsidR="000670A6">
        <w:t xml:space="preserve">ederal law </w:t>
      </w:r>
      <w:r>
        <w:t xml:space="preserve">lets </w:t>
      </w:r>
      <w:r w:rsidR="000670A6">
        <w:t xml:space="preserve">bankruptcy cases </w:t>
      </w:r>
      <w:r>
        <w:t xml:space="preserve"> </w:t>
      </w:r>
      <w:r w:rsidR="000670A6">
        <w:t>be</w:t>
      </w:r>
      <w:r w:rsidR="0006588B">
        <w:t xml:space="preserve"> filed</w:t>
      </w:r>
      <w:r w:rsidR="000670A6">
        <w:t xml:space="preserve"> in </w:t>
      </w:r>
      <w:r w:rsidR="0006707D">
        <w:t xml:space="preserve">many different </w:t>
      </w:r>
      <w:r w:rsidR="0006588B">
        <w:t>places, allowing debtor</w:t>
      </w:r>
      <w:r>
        <w:t>s</w:t>
      </w:r>
      <w:r w:rsidR="0006588B">
        <w:t xml:space="preserve"> to </w:t>
      </w:r>
      <w:r>
        <w:t>do</w:t>
      </w:r>
      <w:r w:rsidR="0006588B">
        <w:t xml:space="preserve"> venue shopping</w:t>
      </w:r>
      <w:bookmarkEnd w:id="9"/>
      <w:r w:rsidR="0006707D">
        <w:t xml:space="preserve">  </w:t>
      </w:r>
    </w:p>
    <w:p w14:paraId="0F8940D3" w14:textId="1AA3E2BB" w:rsidR="00370B48" w:rsidRPr="00C906DC" w:rsidRDefault="00370B48" w:rsidP="00C906DC">
      <w:pPr>
        <w:pStyle w:val="Citation3"/>
      </w:pPr>
      <w:bookmarkStart w:id="10" w:name="_Toc24200168"/>
      <w:r w:rsidRPr="00C906DC">
        <w:rPr>
          <w:u w:val="single"/>
        </w:rPr>
        <w:t xml:space="preserve">Robbin </w:t>
      </w:r>
      <w:proofErr w:type="spellStart"/>
      <w:r w:rsidRPr="00C906DC">
        <w:rPr>
          <w:u w:val="single"/>
        </w:rPr>
        <w:t>Itkin</w:t>
      </w:r>
      <w:proofErr w:type="spellEnd"/>
      <w:r w:rsidRPr="00C906DC">
        <w:rPr>
          <w:u w:val="single"/>
        </w:rPr>
        <w:t xml:space="preserve"> 2018.</w:t>
      </w:r>
      <w:r w:rsidRPr="00AD7F7E">
        <w:t xml:space="preserve"> (</w:t>
      </w:r>
      <w:r>
        <w:t>bankruptcy attorney</w:t>
      </w:r>
      <w:r w:rsidRPr="00AD7F7E">
        <w:t>) 7 March 2018 “</w:t>
      </w:r>
      <w:r w:rsidRPr="00C906DC">
        <w:t xml:space="preserve">You want to file a bankruptcy case where?????” </w:t>
      </w:r>
      <w:hyperlink r:id="rId17" w:history="1">
        <w:r w:rsidR="00AD7F7E" w:rsidRPr="00C906DC">
          <w:rPr>
            <w:rStyle w:val="Hyperlink"/>
          </w:rPr>
          <w:t>https://www.dlapiper.com/en/us/insights/publications/2018/03/global-insight-issue-23/2you-want-to-file-a-bankruptcy-case-where/</w:t>
        </w:r>
        <w:bookmarkEnd w:id="10"/>
      </w:hyperlink>
      <w:r w:rsidR="00AD7F7E">
        <w:rPr>
          <w:u w:color="7F7F7F"/>
        </w:rPr>
        <w:t xml:space="preserve"> </w:t>
      </w:r>
      <w:r w:rsidR="00AD7F7E">
        <w:t xml:space="preserve"> </w:t>
      </w:r>
    </w:p>
    <w:p w14:paraId="025F75BB" w14:textId="620E0D68" w:rsidR="00370B48" w:rsidRPr="00370B48" w:rsidRDefault="00370B48" w:rsidP="00C906DC">
      <w:pPr>
        <w:pStyle w:val="Evidence"/>
      </w:pPr>
      <w:r w:rsidRPr="00370B48">
        <w:t>For many years in the US, there has been disagreement among lawyers, judges and institutional creditors concerning the ability of parties under current bankruptcy law to cherry pick the court in which to file bankruptcy.</w:t>
      </w:r>
      <w:r>
        <w:t xml:space="preserve"> </w:t>
      </w:r>
      <w:r w:rsidRPr="00370B48">
        <w:t>Under current law, a company can file a chapter 11 bankruptcy case either in the place of incorporation or in districts where affiliates have pending bankruptcy cases. This has made jurisdictions like Delaware (a common state of incorporation) a popular place to file. Filers often seek to file bankruptcy cases in jurisdictions (</w:t>
      </w:r>
      <w:proofErr w:type="spellStart"/>
      <w:r w:rsidRPr="00370B48">
        <w:t>i</w:t>
      </w:r>
      <w:proofErr w:type="spellEnd"/>
      <w:r w:rsidRPr="00370B48">
        <w:t>) where the applicable law may be more favorable; (ii) where judges are perceived to be more user friendly; and/or (iii) where the judges’ approach and rulings are known. This behavior is popularly called "forum shopping" or "venue shopping". In the US, it is not unusual for filers to seek a jurisdiction in a location remote from the actual business operations.</w:t>
      </w:r>
    </w:p>
    <w:p w14:paraId="0AD8F581" w14:textId="780BE153" w:rsidR="003A712C" w:rsidRDefault="003A712C" w:rsidP="003A712C">
      <w:pPr>
        <w:pStyle w:val="Contention1"/>
      </w:pPr>
      <w:bookmarkStart w:id="11" w:name="_Toc24201312"/>
      <w:r>
        <w:lastRenderedPageBreak/>
        <w:t xml:space="preserve">FACT 2.  </w:t>
      </w:r>
      <w:r w:rsidR="000B260C">
        <w:t>Magnet</w:t>
      </w:r>
      <w:r w:rsidR="009B5DB2">
        <w:t xml:space="preserve"> Courts.</w:t>
      </w:r>
      <w:bookmarkEnd w:id="11"/>
    </w:p>
    <w:p w14:paraId="7AD02196" w14:textId="35DACC3B" w:rsidR="004B46D0" w:rsidRDefault="004B46D0" w:rsidP="00C906DC">
      <w:pPr>
        <w:pStyle w:val="Contention2"/>
      </w:pPr>
      <w:bookmarkStart w:id="12" w:name="_Toc24201313"/>
      <w:r>
        <w:t>Most large bankruptcies are handled in only 2 federal courts nationwide – the magnet courts</w:t>
      </w:r>
      <w:bookmarkEnd w:id="12"/>
    </w:p>
    <w:p w14:paraId="4407A8F9" w14:textId="2983E9F9" w:rsidR="004B46D0" w:rsidRDefault="004B46D0" w:rsidP="00C906DC">
      <w:pPr>
        <w:pStyle w:val="Citation3"/>
      </w:pPr>
      <w:bookmarkStart w:id="13" w:name="_Toc24200169"/>
      <w:r w:rsidRPr="00C906DC">
        <w:rPr>
          <w:u w:val="single"/>
        </w:rPr>
        <w:t>National Conference of Bankruptcy Judges 2018</w:t>
      </w:r>
      <w:r>
        <w:t xml:space="preserve">. (voluntary association of United States Bankruptcy Judges, comprised of approximately 82% of the nation’s active and recalled bankruptcy judges) NCBJ Special Committee on Venue: Report on Proposal for Revision of the Venue Statute in Commercial Bankruptcy Cases   27 Nov 2018 </w:t>
      </w:r>
      <w:hyperlink r:id="rId18" w:history="1">
        <w:r>
          <w:rPr>
            <w:rStyle w:val="Hyperlink"/>
          </w:rPr>
          <w:t>https://cdn.ymaws.com/www.ncbj.org/resource/resmgr/docs_public/Venue_White_Paper_-_Final.pdf</w:t>
        </w:r>
        <w:bookmarkEnd w:id="13"/>
      </w:hyperlink>
    </w:p>
    <w:p w14:paraId="7DBC4EE9" w14:textId="1A19ACA8" w:rsidR="004B46D0" w:rsidRDefault="004B46D0" w:rsidP="00C906DC">
      <w:pPr>
        <w:pStyle w:val="Evidence"/>
      </w:pPr>
      <w:r>
        <w:t>The Bankruptcy Code’s permissive venue provisions have resulted in a distribution of large cases in two districts. The overwhelming majority, between 60 and 70 percent of all large chapter 11 cases, are commenced in bankruptcy courts in the District of Delaware and the Southern District of New York, the magnet courts.</w:t>
      </w:r>
    </w:p>
    <w:p w14:paraId="3A6EBD46" w14:textId="43D77968" w:rsidR="00F9559E" w:rsidRDefault="00F9559E" w:rsidP="000A4477">
      <w:pPr>
        <w:pStyle w:val="Contention1"/>
      </w:pPr>
      <w:bookmarkStart w:id="14" w:name="_Toc24201314"/>
      <w:r>
        <w:t xml:space="preserve">OBSERVATION 3.  </w:t>
      </w:r>
      <w:r w:rsidR="000C705C">
        <w:t>The HARMS</w:t>
      </w:r>
      <w:r>
        <w:t>.</w:t>
      </w:r>
      <w:bookmarkEnd w:id="14"/>
      <w:r>
        <w:t xml:space="preserve">  </w:t>
      </w:r>
    </w:p>
    <w:p w14:paraId="6262347D" w14:textId="77777777" w:rsidR="00A943FC" w:rsidRDefault="001A6AF0" w:rsidP="000A4477">
      <w:pPr>
        <w:pStyle w:val="Contention1"/>
      </w:pPr>
      <w:bookmarkStart w:id="15" w:name="_Toc24201315"/>
      <w:r>
        <w:t>HARM 1.  Injustice.</w:t>
      </w:r>
      <w:bookmarkEnd w:id="15"/>
      <w:r w:rsidR="000B0A7B">
        <w:t xml:space="preserve">  </w:t>
      </w:r>
    </w:p>
    <w:p w14:paraId="27FBDDA3" w14:textId="2C47304D" w:rsidR="001A6AF0" w:rsidRDefault="002C6956" w:rsidP="00C906DC">
      <w:pPr>
        <w:pStyle w:val="Contention2"/>
      </w:pPr>
      <w:bookmarkStart w:id="16" w:name="_Toc24201316"/>
      <w:r>
        <w:t>Rights are violated when debtors are allowed to choose far-away courts to file bankruptcy</w:t>
      </w:r>
      <w:bookmarkEnd w:id="16"/>
    </w:p>
    <w:p w14:paraId="66FB2D46" w14:textId="0C473090" w:rsidR="00A4439C" w:rsidRDefault="00A4439C" w:rsidP="00A4439C">
      <w:pPr>
        <w:pStyle w:val="Citation3"/>
      </w:pPr>
      <w:bookmarkStart w:id="17" w:name="_Toc24200170"/>
      <w:r w:rsidRPr="008C66C1">
        <w:rPr>
          <w:u w:val="single"/>
        </w:rPr>
        <w:t>Venue Committee of the Bankruptcy Section of the Minnesota State Bar Association 2016</w:t>
      </w:r>
      <w:r>
        <w:t xml:space="preserve">.  “Report of the Venue Committee of the Bankruptcy Section of the Minnesota State Bar Association in Support of Venue Fairness” 21 Jan 2016 </w:t>
      </w:r>
      <w:hyperlink r:id="rId19" w:history="1">
        <w:r>
          <w:rPr>
            <w:rStyle w:val="Hyperlink"/>
          </w:rPr>
          <w:t>https://clla.org/wp-content/uploads/2018/PDFs/Sections/Bankruptcy/1._Report_of_Venue_Fairness-.pdf</w:t>
        </w:r>
      </w:hyperlink>
      <w:r>
        <w:t xml:space="preserve">  (brackets added)</w:t>
      </w:r>
      <w:bookmarkEnd w:id="17"/>
    </w:p>
    <w:p w14:paraId="477F29AE" w14:textId="53A90A22" w:rsidR="00317DD2" w:rsidRDefault="00317DD2" w:rsidP="00C906DC">
      <w:pPr>
        <w:pStyle w:val="Evidence"/>
      </w:pPr>
      <w:r>
        <w:rPr>
          <w:noProof/>
          <w:lang w:eastAsia="en-US"/>
        </w:rPr>
        <w:drawing>
          <wp:inline distT="0" distB="0" distL="0" distR="0" wp14:anchorId="2C45A149" wp14:editId="62F39A6C">
            <wp:extent cx="5434780" cy="1651918"/>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55859" cy="1658325"/>
                    </a:xfrm>
                    <a:prstGeom prst="rect">
                      <a:avLst/>
                    </a:prstGeom>
                    <a:noFill/>
                    <a:ln>
                      <a:noFill/>
                    </a:ln>
                  </pic:spPr>
                </pic:pic>
              </a:graphicData>
            </a:graphic>
          </wp:inline>
        </w:drawing>
      </w:r>
    </w:p>
    <w:p w14:paraId="783F9B7C" w14:textId="61998122" w:rsidR="00FF0790" w:rsidRDefault="008001BB" w:rsidP="00EE363B">
      <w:pPr>
        <w:pStyle w:val="Contention1"/>
      </w:pPr>
      <w:bookmarkStart w:id="18" w:name="_Toc24201317"/>
      <w:r w:rsidRPr="001A6AF0">
        <w:t xml:space="preserve">HARM </w:t>
      </w:r>
      <w:r w:rsidR="001A6AF0" w:rsidRPr="001A6AF0">
        <w:t>2</w:t>
      </w:r>
      <w:r w:rsidRPr="001A6AF0">
        <w:t xml:space="preserve">. </w:t>
      </w:r>
      <w:r w:rsidR="00FF0790">
        <w:t xml:space="preserve"> Communities suffer.</w:t>
      </w:r>
      <w:bookmarkEnd w:id="18"/>
    </w:p>
    <w:p w14:paraId="1AEB087D" w14:textId="4FBE372B" w:rsidR="00FF0790" w:rsidRDefault="00FF0790" w:rsidP="00FF0790">
      <w:pPr>
        <w:pStyle w:val="Contention2"/>
      </w:pPr>
      <w:bookmarkStart w:id="19" w:name="_Toc24201318"/>
      <w:r>
        <w:t>When a business goes bankrupt, the local creditors, employees and citizens will suffer if the case is heard in a remote venue where they can’t participate in the process</w:t>
      </w:r>
      <w:bookmarkEnd w:id="19"/>
    </w:p>
    <w:p w14:paraId="2A077D42" w14:textId="77777777" w:rsidR="00FF0790" w:rsidRDefault="00FF0790" w:rsidP="00FF0790">
      <w:pPr>
        <w:pStyle w:val="Citation3"/>
      </w:pPr>
      <w:bookmarkStart w:id="20" w:name="_Toc24200171"/>
      <w:r w:rsidRPr="00151515">
        <w:rPr>
          <w:u w:val="single"/>
        </w:rPr>
        <w:t xml:space="preserve">Peter </w:t>
      </w:r>
      <w:proofErr w:type="spellStart"/>
      <w:r w:rsidRPr="00151515">
        <w:rPr>
          <w:u w:val="single"/>
        </w:rPr>
        <w:t>Califano</w:t>
      </w:r>
      <w:proofErr w:type="spellEnd"/>
      <w:r w:rsidRPr="00151515">
        <w:rPr>
          <w:u w:val="single"/>
        </w:rPr>
        <w:t xml:space="preserve"> 2011</w:t>
      </w:r>
      <w:r>
        <w:t xml:space="preserve"> (</w:t>
      </w:r>
      <w:r w:rsidRPr="00151515">
        <w:t>bankruptcy attorney at Cooper White &amp; Cooper in San Francisco where he chairs the bankruptcy and creditors' rights groups</w:t>
      </w:r>
      <w:r>
        <w:t xml:space="preserve">) 8 Sept 2011 HEARING BEFORE THE  SUBCOMMITTEE ON COURTS, COMMERCIAL AND ADMINISTRATIVE LAW OF THE COMMITTEE ON THE JUDICIARY, HOUSE OF REPRESENTATIVES, ONE HUNDRED TWELFTH CONGRESS FIRST SESSION ON H.R. 2533 </w:t>
      </w:r>
      <w:hyperlink r:id="rId21" w:history="1">
        <w:r w:rsidRPr="007A20CA">
          <w:rPr>
            <w:rStyle w:val="Hyperlink"/>
          </w:rPr>
          <w:t>http://www.gpo.gov/fdsys/pkg/CHRG-112hhrg68185/html/CHRG-112hhrg68185.htm</w:t>
        </w:r>
      </w:hyperlink>
      <w:r>
        <w:t xml:space="preserve"> (brackets added)</w:t>
      </w:r>
      <w:bookmarkEnd w:id="20"/>
    </w:p>
    <w:p w14:paraId="042ED0EA" w14:textId="50D33C53" w:rsidR="00FF0790" w:rsidRDefault="00FF0790" w:rsidP="00FF0790">
      <w:pPr>
        <w:pStyle w:val="Evidence"/>
      </w:pPr>
      <w:r w:rsidRPr="00151515">
        <w:t xml:space="preserve">First, the consequences of corporate bankruptcy are most profound in the communities where the debtor's principal place of business or assets are located. Not only are jobs involved, but they may affect other matters such as </w:t>
      </w:r>
      <w:r>
        <w:t>h</w:t>
      </w:r>
      <w:r w:rsidRPr="00151515">
        <w:t>ospitals, the closing of plants, and waste removal.    Second, if bankruptcies are filed in remote districts, the parties with the most familiarity with the debtor's operations and who have an important stake in the case's outcome might be cut off or minimized in the process. Employees, small creditors, and retirees will suffer.</w:t>
      </w:r>
    </w:p>
    <w:p w14:paraId="012D6903" w14:textId="322F908B" w:rsidR="00FF0790" w:rsidRPr="00C906DC" w:rsidRDefault="00FF0790" w:rsidP="000D7CFA">
      <w:pPr>
        <w:pStyle w:val="Constructive"/>
        <w:rPr>
          <w:b/>
        </w:rPr>
      </w:pPr>
      <w:r w:rsidRPr="00C906DC">
        <w:rPr>
          <w:b/>
        </w:rPr>
        <w:lastRenderedPageBreak/>
        <w:t xml:space="preserve">END QUOTE.  You can imagine yourself, Judge, if a local business owed you $5000 and was going bankrupt. Would you </w:t>
      </w:r>
      <w:r w:rsidR="005D1E8A" w:rsidRPr="00C906DC">
        <w:rPr>
          <w:b/>
        </w:rPr>
        <w:t>prefer</w:t>
      </w:r>
      <w:r w:rsidRPr="00C906DC">
        <w:rPr>
          <w:b/>
        </w:rPr>
        <w:t xml:space="preserve"> if they filed for bankruptcy in Delaware, or in a city nearby to where you live?  Your chances of being able to make your claim known and collect some of the debt will be a lot higher if the bankruptcy is handled locally, and that’s what this Harm is about.</w:t>
      </w:r>
    </w:p>
    <w:p w14:paraId="5E4B2BFE" w14:textId="77777777" w:rsidR="007454E8" w:rsidRDefault="00D5263E" w:rsidP="00D5263E">
      <w:pPr>
        <w:pStyle w:val="Contention1"/>
      </w:pPr>
      <w:bookmarkStart w:id="21" w:name="_Toc24201319"/>
      <w:r>
        <w:t xml:space="preserve">HARM 3.  </w:t>
      </w:r>
      <w:r w:rsidR="007454E8">
        <w:t>Rigged system</w:t>
      </w:r>
      <w:bookmarkEnd w:id="21"/>
    </w:p>
    <w:p w14:paraId="0B6C2215" w14:textId="72732B74" w:rsidR="007454E8" w:rsidRDefault="007454E8" w:rsidP="00C906DC">
      <w:pPr>
        <w:pStyle w:val="Contention2"/>
      </w:pPr>
      <w:bookmarkStart w:id="22" w:name="_Toc24201320"/>
      <w:r>
        <w:t>Venue shopping creates a rigged system with biased outcomes. It destroys the integrity of the judicial process</w:t>
      </w:r>
      <w:bookmarkEnd w:id="22"/>
    </w:p>
    <w:p w14:paraId="1A91CB0F" w14:textId="381A2A3F" w:rsidR="007454E8" w:rsidRDefault="007454E8" w:rsidP="007454E8">
      <w:pPr>
        <w:pStyle w:val="Citation3"/>
      </w:pPr>
      <w:bookmarkStart w:id="23" w:name="_Toc24200172"/>
      <w:r w:rsidRPr="008C66C1">
        <w:rPr>
          <w:u w:val="single"/>
        </w:rPr>
        <w:t>National Conference of Bankruptcy Judges 2018</w:t>
      </w:r>
      <w:r>
        <w:t xml:space="preserve">. (voluntary association of United States Bankruptcy Judges, comprised of approximately 82% of the nation’s active and recalled bankruptcy judges) NCBJ Special Committee on Venue: Report on Proposal for Revision of the Venue Statute in Commercial Bankruptcy Cases   27 Nov 2018 </w:t>
      </w:r>
      <w:hyperlink r:id="rId22" w:history="1">
        <w:r>
          <w:rPr>
            <w:rStyle w:val="Hyperlink"/>
          </w:rPr>
          <w:t>https://cdn.ymaws.com/www.ncbj.org/resource/resmgr/docs_public/Venue_White_Paper_-_Final.pdf</w:t>
        </w:r>
      </w:hyperlink>
      <w:r>
        <w:t xml:space="preserve">  (ellipses in original)</w:t>
      </w:r>
      <w:bookmarkEnd w:id="23"/>
    </w:p>
    <w:p w14:paraId="3B5CBD32" w14:textId="5DC86B71" w:rsidR="000A4477" w:rsidRDefault="007454E8" w:rsidP="00C906DC">
      <w:pPr>
        <w:pStyle w:val="Evidence"/>
      </w:pPr>
      <w:r w:rsidRPr="00C906DC">
        <w:rPr>
          <w:u w:val="single"/>
        </w:rPr>
        <w:t>A number of lawyers have conceded that they select certain venues for large chapter 11 cases because the judges have “developed reputations for being pro-debtor and for favoring financial institutions in disputes against creditors. . . .”</w:t>
      </w:r>
      <w:r>
        <w:t xml:space="preserve">  Corporate executives and boards also have expressed the view that the bankruptcy judges in those jurisdictions are more business friendly and predictable</w:t>
      </w:r>
      <w:r w:rsidRPr="00C906DC">
        <w:rPr>
          <w:u w:val="single"/>
        </w:rPr>
        <w:t>. “The perception is that the deck is stacked in favor of debtors and the institutional players.”</w:t>
      </w:r>
      <w:r>
        <w:t xml:space="preserve">  According to the former president of the Commercial Law League of America, venue shopping reduces legal discourse in favor of predictability of outcome, and consequently constituents of the bankruptcy system and the general public “become more disillusioned and indifferent.”  </w:t>
      </w:r>
      <w:r w:rsidRPr="00C906DC">
        <w:rPr>
          <w:u w:val="single"/>
        </w:rPr>
        <w:t>“Manipulation of bankruptcy venue rules contributes to a perception that in many bankruptcy cases, the outcome is predetermined, and parties are helpless to reverse the tide of decisions by the very largest players</w:t>
      </w:r>
      <w:r>
        <w:t>.”</w:t>
      </w:r>
    </w:p>
    <w:p w14:paraId="5657AD45" w14:textId="4D873681" w:rsidR="00CD2A66" w:rsidRPr="001C7F45" w:rsidRDefault="00CD2A66">
      <w:pPr>
        <w:pStyle w:val="Contention1"/>
      </w:pPr>
      <w:bookmarkStart w:id="24" w:name="_Toc24201321"/>
      <w:r>
        <w:t>OBSERVATION 4. We offer the following PLAN</w:t>
      </w:r>
      <w:bookmarkEnd w:id="24"/>
      <w:r>
        <w:t xml:space="preserve"> </w:t>
      </w:r>
    </w:p>
    <w:p w14:paraId="6E9141A1" w14:textId="57C62535" w:rsidR="000D7CFA" w:rsidRDefault="00994F27" w:rsidP="000D7CFA">
      <w:pPr>
        <w:pStyle w:val="Case"/>
      </w:pPr>
      <w:r>
        <w:t xml:space="preserve">Congress passes </w:t>
      </w:r>
      <w:r w:rsidR="003D1A68">
        <w:t xml:space="preserve">HR4421, the </w:t>
      </w:r>
      <w:r>
        <w:t>Bankruptcy Venue Refor</w:t>
      </w:r>
      <w:r w:rsidR="000D7CFA">
        <w:t>m Act</w:t>
      </w:r>
      <w:r w:rsidR="003D1A68">
        <w:t xml:space="preserve"> of 2019</w:t>
      </w:r>
      <w:r w:rsidR="000D7CFA">
        <w:t xml:space="preserve"> </w:t>
      </w:r>
    </w:p>
    <w:p w14:paraId="609E275E" w14:textId="678E3A4B" w:rsidR="000D7CFA" w:rsidRDefault="00B16F3B" w:rsidP="000D7CFA">
      <w:pPr>
        <w:pStyle w:val="Case"/>
      </w:pPr>
      <w:r>
        <w:t xml:space="preserve">Funding from </w:t>
      </w:r>
      <w:r w:rsidR="00994F27">
        <w:t>existing b</w:t>
      </w:r>
      <w:r w:rsidR="000D7CFA">
        <w:t xml:space="preserve">udgets of </w:t>
      </w:r>
      <w:r w:rsidR="00872B1E">
        <w:t>the federal courts</w:t>
      </w:r>
    </w:p>
    <w:p w14:paraId="38C79BF0" w14:textId="77777777" w:rsidR="000D7CFA" w:rsidRDefault="00994F27" w:rsidP="000D7CFA">
      <w:pPr>
        <w:pStyle w:val="Case"/>
      </w:pPr>
      <w:r>
        <w:t>Enforcement through the federal courts.</w:t>
      </w:r>
    </w:p>
    <w:p w14:paraId="44646C71" w14:textId="77777777" w:rsidR="00C21021" w:rsidRDefault="00B16F3B" w:rsidP="000D7CFA">
      <w:pPr>
        <w:pStyle w:val="Case"/>
      </w:pPr>
      <w:r>
        <w:t>Plan takes effect 30 days after an Affirmative ballot.</w:t>
      </w:r>
    </w:p>
    <w:p w14:paraId="3F6295C8" w14:textId="565F397E" w:rsidR="004918F6" w:rsidRDefault="00B16F3B" w:rsidP="000D7CFA">
      <w:pPr>
        <w:pStyle w:val="Case"/>
      </w:pPr>
      <w:r>
        <w:t xml:space="preserve">All Affirmative speeches may clarify </w:t>
      </w:r>
    </w:p>
    <w:p w14:paraId="62C9C76F" w14:textId="7BB0924C" w:rsidR="00872B1E" w:rsidRDefault="001C7F45" w:rsidP="0069755F">
      <w:pPr>
        <w:pStyle w:val="Contention1"/>
      </w:pPr>
      <w:bookmarkStart w:id="25" w:name="_Toc24201322"/>
      <w:r>
        <w:lastRenderedPageBreak/>
        <w:t>OBSERVATION 5.  The Plan SOLVES.</w:t>
      </w:r>
      <w:bookmarkEnd w:id="25"/>
      <w:r>
        <w:t xml:space="preserve">   </w:t>
      </w:r>
    </w:p>
    <w:p w14:paraId="3FE962B9" w14:textId="111BF033" w:rsidR="00872B1E" w:rsidRDefault="00872B1E" w:rsidP="00C906DC">
      <w:pPr>
        <w:pStyle w:val="Contention2"/>
      </w:pPr>
      <w:bookmarkStart w:id="26" w:name="_Toc24201323"/>
      <w:r>
        <w:t>A.  Bankruptcy Venue Reform Act ends venue shopping and brings proceedings back to the community</w:t>
      </w:r>
      <w:bookmarkEnd w:id="26"/>
      <w:r>
        <w:t xml:space="preserve"> </w:t>
      </w:r>
    </w:p>
    <w:p w14:paraId="53CE66A5" w14:textId="5387A334" w:rsidR="0069755F" w:rsidRDefault="00872B1E" w:rsidP="00C906DC">
      <w:pPr>
        <w:pStyle w:val="Citation3"/>
      </w:pPr>
      <w:bookmarkStart w:id="27" w:name="_Toc24200173"/>
      <w:r w:rsidRPr="00C906DC">
        <w:rPr>
          <w:u w:val="single"/>
        </w:rPr>
        <w:t>Rep. Zoe Lofgren and Rep. Jim Sensenbrenner 2019.</w:t>
      </w:r>
      <w:r w:rsidRPr="00AD7F7E">
        <w:t xml:space="preserve"> (</w:t>
      </w:r>
      <w:proofErr w:type="spellStart"/>
      <w:r w:rsidRPr="00AD7F7E">
        <w:t>Logren</w:t>
      </w:r>
      <w:proofErr w:type="spellEnd"/>
      <w:r w:rsidRPr="00AD7F7E">
        <w:t xml:space="preserve"> – D-Calif.  Sensenbrenner – R-Wisconsin. Members of the US House of Representatives) </w:t>
      </w:r>
      <w:r w:rsidRPr="00C906DC">
        <w:t>Reps. Lofgren and Sensenbrenner Introduce Legislation to End Corporate Bankruptcy Forum Shopping</w:t>
      </w:r>
      <w:r>
        <w:t xml:space="preserve">, 19 Sept 2019 Press Release from the office of Rep. Zoe Lofgren  </w:t>
      </w:r>
      <w:hyperlink r:id="rId23" w:history="1">
        <w:r>
          <w:rPr>
            <w:rStyle w:val="Hyperlink"/>
          </w:rPr>
          <w:t>https://lofgren.house.gov/media/press-releases/reps-lofgren-and-sensenbrenner-introduce-legislation-end-corporate-bankruptcy</w:t>
        </w:r>
        <w:bookmarkEnd w:id="27"/>
      </w:hyperlink>
    </w:p>
    <w:p w14:paraId="6B8D6F6F" w14:textId="38179F9A" w:rsidR="00872B1E" w:rsidRDefault="00872B1E" w:rsidP="00C906DC">
      <w:pPr>
        <w:pStyle w:val="Evidence"/>
      </w:pPr>
      <w:r w:rsidRPr="00AD7F7E">
        <w:t>U.S. Representatives Zoe Lofgren (D-CA) and Jim Sensenbrenner (R- WI) today introduced the bipartisan Bankruptcy Venue Reform Act of 2019 to ensure that the employees, small businesses, and local communities that are most impacted by a Chapter 11 bankruptcy are able to fully and fairly participate in proceedings. “Th</w:t>
      </w:r>
      <w:r w:rsidRPr="00C906DC">
        <w:t>e outcome of a Chapter 11 bankruptcy proceeding can have a profound impact on local communities,” said Representative Lofgren. “Justice requires that community stakeholders be able to fully participate and that these proceedings be adjudicated by someone from and knowledgeable of the community, rather than allowing corporations to choose a court where an entire cottage industry has been built around favorable decisions that benefit corporate interests above all else.” Representative Sensenbrenner: “Our corporate bankruptcy system has developed into a cottage industry where the better majority of proceedings take place in two states—often far away from the people that will be impacted by the decisions. This bipartisan bill makes key changes to the bankruptcy code that will allow employees and other community stakeholders to participate in the process more fully.” The Bankruptcy Venue Reform Act of 2019 will accomplish this by requiring that Chapter 11 bankruptcy proceedings take place where the principal place of business or principal assets of the corporation are located, where the effects of the bankruptcy are the greatest.</w:t>
      </w:r>
    </w:p>
    <w:p w14:paraId="734AB927" w14:textId="17C9A695" w:rsidR="00872B1E" w:rsidRDefault="00872B1E" w:rsidP="00872B1E">
      <w:pPr>
        <w:pStyle w:val="Contention2"/>
      </w:pPr>
      <w:bookmarkStart w:id="28" w:name="_Toc24201324"/>
      <w:r>
        <w:t>B.  Ending venue shopping would preserve the integrity of the bankruptcy system</w:t>
      </w:r>
      <w:bookmarkEnd w:id="28"/>
    </w:p>
    <w:p w14:paraId="14ADF0E7" w14:textId="77777777" w:rsidR="00872B1E" w:rsidRDefault="00872B1E" w:rsidP="00872B1E">
      <w:pPr>
        <w:pStyle w:val="Citation3"/>
      </w:pPr>
      <w:bookmarkStart w:id="29" w:name="_Toc24200174"/>
      <w:r w:rsidRPr="008C66C1">
        <w:rPr>
          <w:u w:val="single"/>
        </w:rPr>
        <w:t>Venue Committee of the Bankruptcy Section of the Minnesota State Bar Association 2016</w:t>
      </w:r>
      <w:r>
        <w:t xml:space="preserve">.  “Report of the Venue Committee of the Bankruptcy Section of the Minnesota State Bar Association in Support of Venue Fairness” 21 Jan 2016 </w:t>
      </w:r>
      <w:hyperlink r:id="rId24" w:history="1">
        <w:r>
          <w:rPr>
            <w:rStyle w:val="Hyperlink"/>
          </w:rPr>
          <w:t>https://clla.org/wp-content/uploads/2018/PDFs/Sections/Bankruptcy/1._Report_of_Venue_Fairness-.pdf</w:t>
        </w:r>
        <w:bookmarkEnd w:id="29"/>
      </w:hyperlink>
    </w:p>
    <w:p w14:paraId="6FFF7866" w14:textId="77777777" w:rsidR="00872B1E" w:rsidRPr="00CB575D" w:rsidRDefault="00872B1E" w:rsidP="00872B1E">
      <w:pPr>
        <w:pStyle w:val="Evidence"/>
      </w:pPr>
      <w:r w:rsidRPr="008C66C1">
        <w:rPr>
          <w:noProof/>
          <w:lang w:eastAsia="en-US"/>
        </w:rPr>
        <w:drawing>
          <wp:inline distT="0" distB="0" distL="0" distR="0" wp14:anchorId="36BAE0E2" wp14:editId="3A521372">
            <wp:extent cx="4778477" cy="1633708"/>
            <wp:effectExtent l="0" t="0" r="3175"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78477" cy="1633708"/>
                    </a:xfrm>
                    <a:prstGeom prst="rect">
                      <a:avLst/>
                    </a:prstGeom>
                    <a:noFill/>
                    <a:ln>
                      <a:noFill/>
                    </a:ln>
                  </pic:spPr>
                </pic:pic>
              </a:graphicData>
            </a:graphic>
          </wp:inline>
        </w:drawing>
      </w:r>
    </w:p>
    <w:p w14:paraId="7D52B3EE" w14:textId="77777777" w:rsidR="00872B1E" w:rsidRPr="00AD7F7E" w:rsidRDefault="00872B1E" w:rsidP="00C906DC">
      <w:pPr>
        <w:pStyle w:val="Evidence"/>
      </w:pPr>
    </w:p>
    <w:p w14:paraId="16DCC630" w14:textId="3B7D3C4E" w:rsidR="00872B1E" w:rsidRDefault="00872B1E" w:rsidP="0069755F">
      <w:pPr>
        <w:pStyle w:val="Contention1"/>
      </w:pPr>
    </w:p>
    <w:p w14:paraId="4E7F3FD9" w14:textId="77777777" w:rsidR="00872B1E" w:rsidRDefault="00872B1E" w:rsidP="0069755F">
      <w:pPr>
        <w:pStyle w:val="Contention1"/>
      </w:pPr>
    </w:p>
    <w:p w14:paraId="07587B41" w14:textId="69CFEC4A" w:rsidR="00EB317D" w:rsidRDefault="00EB317D" w:rsidP="000D7CFA">
      <w:pPr>
        <w:pStyle w:val="Evidence"/>
        <w:rPr>
          <w:u w:val="single"/>
        </w:rPr>
        <w:sectPr w:rsidR="00EB317D" w:rsidSect="002B5BD4">
          <w:headerReference w:type="default" r:id="rId26"/>
          <w:pgSz w:w="12240" w:h="15840"/>
          <w:pgMar w:top="1440" w:right="1440" w:bottom="1440" w:left="1440" w:header="720" w:footer="720" w:gutter="0"/>
          <w:cols w:space="720"/>
        </w:sectPr>
      </w:pPr>
    </w:p>
    <w:p w14:paraId="0F2DC28B" w14:textId="79CEA337" w:rsidR="0006588B" w:rsidRPr="000D7CFA" w:rsidRDefault="0006588B" w:rsidP="000D7CFA">
      <w:pPr>
        <w:pStyle w:val="Evidence"/>
        <w:rPr>
          <w:u w:val="single"/>
        </w:rPr>
      </w:pPr>
    </w:p>
    <w:p w14:paraId="3D4D3A9F" w14:textId="6126296A" w:rsidR="00CD2A66" w:rsidRPr="005F7D93" w:rsidRDefault="00CD2A66" w:rsidP="002965FC">
      <w:pPr>
        <w:pStyle w:val="Title2"/>
      </w:pPr>
      <w:bookmarkStart w:id="30" w:name="_Toc24201325"/>
      <w:r w:rsidRPr="005F7D93">
        <w:lastRenderedPageBreak/>
        <w:t>2A EVIDENCE:</w:t>
      </w:r>
      <w:r w:rsidR="00E0151F">
        <w:t xml:space="preserve"> </w:t>
      </w:r>
      <w:r w:rsidR="00F0159A">
        <w:t>B</w:t>
      </w:r>
      <w:r w:rsidR="00241B1D">
        <w:t>ankruptcy Venue Reform Act</w:t>
      </w:r>
      <w:bookmarkEnd w:id="30"/>
      <w:r w:rsidR="00422C88">
        <w:t xml:space="preserve"> </w:t>
      </w:r>
    </w:p>
    <w:p w14:paraId="5AAFCFC3" w14:textId="09290356" w:rsidR="002E5857" w:rsidRDefault="002E5857" w:rsidP="006D3D2A">
      <w:pPr>
        <w:pStyle w:val="Contention1"/>
      </w:pPr>
      <w:bookmarkStart w:id="31" w:name="_Toc24201326"/>
      <w:r>
        <w:t>OPENING QUOTES</w:t>
      </w:r>
      <w:r w:rsidR="00AC3C9D">
        <w:t xml:space="preserve"> / AFF PHILOSOPHY</w:t>
      </w:r>
      <w:bookmarkEnd w:id="31"/>
    </w:p>
    <w:p w14:paraId="6845016A" w14:textId="4AE50870" w:rsidR="00757B32" w:rsidRDefault="002F1C38" w:rsidP="00757B32">
      <w:pPr>
        <w:pStyle w:val="Contention2"/>
      </w:pPr>
      <w:bookmarkStart w:id="32" w:name="_Toc24201327"/>
      <w:r>
        <w:t>Venue Shopping</w:t>
      </w:r>
      <w:r w:rsidR="009155C3">
        <w:t xml:space="preserve"> let the</w:t>
      </w:r>
      <w:r w:rsidR="00757B32">
        <w:t xml:space="preserve"> Los Angeles Dodgers baseball team file for bankruptcy in Delaware</w:t>
      </w:r>
      <w:r w:rsidR="009155C3">
        <w:t>!</w:t>
      </w:r>
      <w:bookmarkEnd w:id="32"/>
    </w:p>
    <w:p w14:paraId="482953D2" w14:textId="2CF36D9E" w:rsidR="00757B32" w:rsidRDefault="00757B32" w:rsidP="009155C3">
      <w:pPr>
        <w:pStyle w:val="Citation3"/>
      </w:pPr>
      <w:bookmarkStart w:id="33" w:name="_Toc24200175"/>
      <w:r w:rsidRPr="009155C3">
        <w:rPr>
          <w:u w:val="single"/>
        </w:rPr>
        <w:t>Rep. Howard Coble 2011</w:t>
      </w:r>
      <w:r>
        <w:t xml:space="preserve"> (R-</w:t>
      </w:r>
      <w:r w:rsidR="009155C3">
        <w:t xml:space="preserve">N. </w:t>
      </w:r>
      <w:r>
        <w:t>Carolina, and Chairman of the Subcommittee on Courts, Commercial and Administrative Law) 8 Sept 2011 HEARING BEFORE THE  SUBCOMMITTEE ON COURTS, COMMERCIAL AND ADMINISTRATIVE LAW OF THE COMMITTEE ON THE JUDICIARY, HOUSE OF REPRESENTATIVES, ONE HUNDRED TWELFTH CONGRESS FIRST SESSION ON H.R. 2533</w:t>
      </w:r>
      <w:r w:rsidR="009155C3">
        <w:t xml:space="preserve"> </w:t>
      </w:r>
      <w:hyperlink r:id="rId27" w:history="1">
        <w:r w:rsidR="002965FC" w:rsidRPr="00D9100E">
          <w:rPr>
            <w:rStyle w:val="Hyperlink"/>
          </w:rPr>
          <w:t>http://www.gpo.gov/fdsys/pkg/CHRG-112hhrg68185/html/CHRG-112hhrg68185.htm</w:t>
        </w:r>
        <w:bookmarkEnd w:id="33"/>
      </w:hyperlink>
      <w:r w:rsidR="002965FC">
        <w:t xml:space="preserve"> </w:t>
      </w:r>
    </w:p>
    <w:p w14:paraId="42DB7A58" w14:textId="0B982EB8" w:rsidR="00757B32" w:rsidRDefault="00757B32" w:rsidP="00757B32">
      <w:pPr>
        <w:pStyle w:val="Evidence"/>
      </w:pPr>
      <w:r w:rsidRPr="00757B32">
        <w:t>These rules allow a large Chapter 11 debtor to forum shop for a district it perceives as most friendly to its ultimate goal. This leads to some strange results, as you all know. Recently the Los Angeles Dodgers, an entity with ``Los Angeles'' in its very name, filed for bankruptcy in Delaware, approximately 3,000 miles from the closest California bankruptcy court.</w:t>
      </w:r>
    </w:p>
    <w:p w14:paraId="15031F3C" w14:textId="4BC16352" w:rsidR="005145AA" w:rsidRDefault="005145AA" w:rsidP="005145AA">
      <w:pPr>
        <w:pStyle w:val="Contention2"/>
      </w:pPr>
      <w:bookmarkStart w:id="34" w:name="_Toc24201328"/>
      <w:r>
        <w:t>Why do bankruptcy attorneys do venue shopping?  Because they want more favorable outcomes</w:t>
      </w:r>
      <w:bookmarkEnd w:id="34"/>
    </w:p>
    <w:p w14:paraId="33D20F19" w14:textId="2B7C683F" w:rsidR="005145AA" w:rsidRDefault="005145AA" w:rsidP="005145AA">
      <w:pPr>
        <w:pStyle w:val="Citation3"/>
      </w:pPr>
      <w:bookmarkStart w:id="35" w:name="_Toc24200176"/>
      <w:r w:rsidRPr="005145AA">
        <w:rPr>
          <w:u w:val="single"/>
        </w:rPr>
        <w:t xml:space="preserve">Rep. Trey </w:t>
      </w:r>
      <w:proofErr w:type="spellStart"/>
      <w:r w:rsidRPr="005145AA">
        <w:rPr>
          <w:u w:val="single"/>
        </w:rPr>
        <w:t>Gowdy</w:t>
      </w:r>
      <w:proofErr w:type="spellEnd"/>
      <w:r w:rsidRPr="005145AA">
        <w:rPr>
          <w:u w:val="single"/>
        </w:rPr>
        <w:t xml:space="preserve"> 2011</w:t>
      </w:r>
      <w:r>
        <w:t xml:space="preserve"> (R-SC) 8 Sept 2011 HEARING BEFORE THE  SUBCOMMITTEE ON COURTS, COMMERCIAL AND ADMINISTRATIVE LAW OF THE COMMITTEE ON THE JUDICIARY, HOUSE OF REPRESENTATIVES, ONE HUNDRED TWELFTH CONGRESS FIRST SESSION ON H.R. 2533 </w:t>
      </w:r>
      <w:hyperlink r:id="rId28" w:history="1">
        <w:r w:rsidR="002965FC" w:rsidRPr="00D9100E">
          <w:rPr>
            <w:rStyle w:val="Hyperlink"/>
          </w:rPr>
          <w:t>http://www.gpo.gov/fdsys/pkg/CHRG-112hhrg68185/html/CHRG-112hhrg68185.htm</w:t>
        </w:r>
        <w:bookmarkEnd w:id="35"/>
      </w:hyperlink>
      <w:r w:rsidR="002965FC">
        <w:t xml:space="preserve"> </w:t>
      </w:r>
    </w:p>
    <w:p w14:paraId="0B76F017" w14:textId="2281902B" w:rsidR="00261F25" w:rsidRPr="00261F25" w:rsidRDefault="00261F25" w:rsidP="00261F25">
      <w:pPr>
        <w:pStyle w:val="Evidence"/>
      </w:pPr>
      <w:r w:rsidRPr="00261F25">
        <w:t>Well, maybe bankruptcy attorneys are different, but usually you pick a venue not based on the experience and expertise of the judge, but whether or not you think you will get a more favorable outcome. It might be that bankruptcy attorneys are just different and they are more interested in fairness than winning, but they would be unique among attorneys if that is what they were motivated by.</w:t>
      </w:r>
    </w:p>
    <w:p w14:paraId="56CEB389" w14:textId="3736A647" w:rsidR="00CD2A66" w:rsidRDefault="00DC0670" w:rsidP="006D3D2A">
      <w:pPr>
        <w:pStyle w:val="Contention1"/>
      </w:pPr>
      <w:bookmarkStart w:id="36" w:name="_Toc24201329"/>
      <w:r>
        <w:t xml:space="preserve">DEFINITIONS </w:t>
      </w:r>
      <w:r w:rsidR="003A5C01">
        <w:t>/ TOPICALITY</w:t>
      </w:r>
      <w:bookmarkEnd w:id="36"/>
    </w:p>
    <w:p w14:paraId="37FFC4B9" w14:textId="2FF601D2" w:rsidR="00573DF6" w:rsidRPr="003D1A68" w:rsidRDefault="003D1A68">
      <w:pPr>
        <w:pStyle w:val="Contention2"/>
      </w:pPr>
      <w:bookmarkStart w:id="37" w:name="_Toc24201330"/>
      <w:r w:rsidRPr="003D1A68">
        <w:t xml:space="preserve">Text of </w:t>
      </w:r>
      <w:r w:rsidRPr="00C906DC">
        <w:t xml:space="preserve">H.R.4421 - Bankruptcy Venue Reform Act of 2019 </w:t>
      </w:r>
      <w:r w:rsidR="00573DF6" w:rsidRPr="003D1A68">
        <w:t>is located here</w:t>
      </w:r>
      <w:bookmarkEnd w:id="37"/>
    </w:p>
    <w:p w14:paraId="6FACADF6" w14:textId="56A7594A" w:rsidR="00370B48" w:rsidRDefault="003D1A68" w:rsidP="00C906DC">
      <w:pPr>
        <w:pStyle w:val="Citation3"/>
      </w:pPr>
      <w:hyperlink r:id="rId29" w:history="1">
        <w:bookmarkStart w:id="38" w:name="_Toc24200177"/>
        <w:r>
          <w:rPr>
            <w:rStyle w:val="Hyperlink"/>
          </w:rPr>
          <w:t>https://www.congress.gov/bill/116th-congress/house-bill/4421/text</w:t>
        </w:r>
        <w:bookmarkEnd w:id="38"/>
      </w:hyperlink>
    </w:p>
    <w:p w14:paraId="451793E9" w14:textId="4F2799AE" w:rsidR="003D1A68" w:rsidRDefault="003D1A68" w:rsidP="00C906DC">
      <w:pPr>
        <w:pStyle w:val="Contention2"/>
      </w:pPr>
      <w:bookmarkStart w:id="39" w:name="_Toc24201331"/>
      <w:r>
        <w:t>Bankruptcy</w:t>
      </w:r>
      <w:r w:rsidR="000D39B9">
        <w:t xml:space="preserve"> is</w:t>
      </w:r>
      <w:r>
        <w:t xml:space="preserve"> critical to the financial system</w:t>
      </w:r>
      <w:bookmarkEnd w:id="39"/>
    </w:p>
    <w:p w14:paraId="34921B4D" w14:textId="0BB40B92" w:rsidR="003D1A68" w:rsidRPr="008C66C1" w:rsidRDefault="003D1A68" w:rsidP="003D1A68">
      <w:pPr>
        <w:pStyle w:val="Citation3"/>
      </w:pPr>
      <w:bookmarkStart w:id="40" w:name="_Toc24200178"/>
      <w:r w:rsidRPr="008C66C1">
        <w:rPr>
          <w:u w:val="single"/>
        </w:rPr>
        <w:t>David Haynes 2019</w:t>
      </w:r>
      <w:r w:rsidRPr="008C66C1">
        <w:t xml:space="preserve"> (bankruptcy attorney) </w:t>
      </w:r>
      <w:r w:rsidRPr="008C66C1">
        <w:rPr>
          <w:rStyle w:val="comp"/>
        </w:rPr>
        <w:t xml:space="preserve">Are You Avoiding Bankruptcy Because of Stigma? 25 June 2019 </w:t>
      </w:r>
      <w:hyperlink r:id="rId30" w:history="1">
        <w:r w:rsidR="00AD7F7E" w:rsidRPr="00C906DC">
          <w:rPr>
            <w:rStyle w:val="Hyperlink"/>
          </w:rPr>
          <w:t>https://www.thebalance.com/bankruptcy-still-carries-stigmas-but-it-shouldn-t-316106</w:t>
        </w:r>
        <w:bookmarkEnd w:id="40"/>
      </w:hyperlink>
      <w:r w:rsidR="00AD7F7E">
        <w:rPr>
          <w:u w:color="7F7F7F"/>
        </w:rPr>
        <w:t xml:space="preserve"> </w:t>
      </w:r>
      <w:r w:rsidR="00AD7F7E">
        <w:t xml:space="preserve"> </w:t>
      </w:r>
    </w:p>
    <w:p w14:paraId="642E21A7" w14:textId="77777777" w:rsidR="003D1A68" w:rsidRDefault="003D1A68" w:rsidP="003D1A68">
      <w:pPr>
        <w:pStyle w:val="Evidence"/>
      </w:pPr>
      <w:r>
        <w:rPr>
          <w:shd w:val="clear" w:color="auto" w:fill="FFFFFF"/>
        </w:rPr>
        <w:t>Without bankruptcy, the entire financial system could collapse. This is because there would be no "out," and if you incurred debt, you would be stuck with it for life.</w:t>
      </w:r>
    </w:p>
    <w:p w14:paraId="71D34067" w14:textId="0CBD1E65" w:rsidR="00370B48" w:rsidRDefault="00370B48" w:rsidP="00370B48">
      <w:pPr>
        <w:pStyle w:val="Contention2"/>
        <w:rPr>
          <w:shd w:val="clear" w:color="auto" w:fill="FFFFFF"/>
        </w:rPr>
      </w:pPr>
      <w:bookmarkStart w:id="41" w:name="_Toc23630867"/>
      <w:bookmarkStart w:id="42" w:name="_Toc24201332"/>
      <w:r>
        <w:rPr>
          <w:shd w:val="clear" w:color="auto" w:fill="FFFFFF"/>
        </w:rPr>
        <w:t>Financial markets include consumer lending, student loans, checking accounts, credit ratings, delinquent debt collection</w:t>
      </w:r>
      <w:bookmarkEnd w:id="41"/>
      <w:bookmarkEnd w:id="42"/>
    </w:p>
    <w:p w14:paraId="505AA9A0" w14:textId="77777777" w:rsidR="00370B48" w:rsidRDefault="00370B48" w:rsidP="00370B48">
      <w:pPr>
        <w:pStyle w:val="Citation3"/>
        <w:rPr>
          <w:shd w:val="clear" w:color="auto" w:fill="FFFFFF"/>
        </w:rPr>
      </w:pPr>
      <w:bookmarkStart w:id="43" w:name="_Toc24200179"/>
      <w:r w:rsidRPr="00E63F54">
        <w:rPr>
          <w:u w:val="single"/>
        </w:rPr>
        <w:t>Cheryl R. Cooper 2019</w:t>
      </w:r>
      <w:r>
        <w:t xml:space="preserve"> (Analyst in Financial Economics for Congressional Research Service) 12 July 2019 “An Overview of Consumer Finance and Policy Issues” </w:t>
      </w:r>
      <w:hyperlink r:id="rId31" w:history="1">
        <w:r>
          <w:rPr>
            <w:rStyle w:val="Hyperlink"/>
          </w:rPr>
          <w:t>https://fas.org/sgp/crs/misc/R45813.pdf</w:t>
        </w:r>
        <w:bookmarkEnd w:id="43"/>
      </w:hyperlink>
    </w:p>
    <w:p w14:paraId="412A42DB" w14:textId="77777777" w:rsidR="00370B48" w:rsidRDefault="00370B48" w:rsidP="00370B48">
      <w:pPr>
        <w:pStyle w:val="Evidence"/>
        <w:rPr>
          <w:shd w:val="clear" w:color="auto" w:fill="FFFFFF"/>
        </w:rPr>
      </w:pPr>
      <w:r>
        <w:t>The major consumer financial markets include mortgage lending, student loans, automobile loans, credit cards and payments, payday loans and other credit alternative financial products, and checking accounts and substitutes. In addition, two important market structures allow these consumer financial products to be offered: (1) the consumer credit reporting system and (2) the debt collection market. These aspects of the consumer credit system facilitate the pricing of credit offers and the resolution of delinquent consumer credit products for most consumer credit markets.</w:t>
      </w:r>
    </w:p>
    <w:p w14:paraId="3F3B115F" w14:textId="0EA8FFC8" w:rsidR="00293302" w:rsidRDefault="007B1A56" w:rsidP="00293302">
      <w:pPr>
        <w:pStyle w:val="Contention2"/>
      </w:pPr>
      <w:bookmarkStart w:id="44" w:name="_Toc24201333"/>
      <w:r>
        <w:lastRenderedPageBreak/>
        <w:t xml:space="preserve">1) Federal.  </w:t>
      </w:r>
      <w:r w:rsidR="00293302">
        <w:t xml:space="preserve">Bankruptcy courts are </w:t>
      </w:r>
      <w:r>
        <w:t>under</w:t>
      </w:r>
      <w:r w:rsidR="00293302">
        <w:t xml:space="preserve"> federal </w:t>
      </w:r>
      <w:r>
        <w:t>jurisdiction  2) Finance.  They litigate debtor-creditor disputes</w:t>
      </w:r>
      <w:bookmarkEnd w:id="44"/>
    </w:p>
    <w:p w14:paraId="623CE77C" w14:textId="03CE9DE0" w:rsidR="00293302" w:rsidRPr="00293302" w:rsidRDefault="00293302" w:rsidP="00293302">
      <w:pPr>
        <w:pStyle w:val="Citation3"/>
      </w:pPr>
      <w:bookmarkStart w:id="45" w:name="_Toc24200180"/>
      <w:r w:rsidRPr="002965FC">
        <w:rPr>
          <w:u w:val="single"/>
        </w:rPr>
        <w:t>Kevin M. Eckhardt and Matthew Mannering 2012</w:t>
      </w:r>
      <w:r>
        <w:t xml:space="preserve"> (attorneys; senior associates in the Charlotte offi</w:t>
      </w:r>
      <w:r w:rsidRPr="00293302">
        <w:t xml:space="preserve">ce of </w:t>
      </w:r>
      <w:proofErr w:type="spellStart"/>
      <w:r w:rsidRPr="00293302">
        <w:t>Hunton</w:t>
      </w:r>
      <w:proofErr w:type="spellEnd"/>
      <w:r w:rsidRPr="00293302">
        <w:t xml:space="preserve"> &amp; Williams, LLP) PRATT’S JOURNAL OF BANKRUPTCY LAW, Oct 2012 </w:t>
      </w:r>
      <w:hyperlink r:id="rId32" w:history="1">
        <w:r w:rsidR="002965FC" w:rsidRPr="00D9100E">
          <w:rPr>
            <w:rStyle w:val="Hyperlink"/>
          </w:rPr>
          <w:t>https://www.hunton.com/files/Publication/e5fde3f9-2390-41c0-9ccf-7e5f8859f32e/Presentation/PublicationAttachment/4e45d656-248f-4a14-aaa8-883f9e1d8866/Reform_of_Bankruptcy_Venue_and_Compensation_Rules.pdf</w:t>
        </w:r>
        <w:bookmarkEnd w:id="45"/>
      </w:hyperlink>
      <w:r w:rsidR="002965FC">
        <w:t xml:space="preserve"> </w:t>
      </w:r>
    </w:p>
    <w:p w14:paraId="45EDA63D" w14:textId="76D7AAAD" w:rsidR="00293302" w:rsidRPr="00293302" w:rsidRDefault="00293302" w:rsidP="00293302">
      <w:pPr>
        <w:pStyle w:val="Evidence"/>
      </w:pPr>
      <w:r>
        <w:rPr>
          <w:noProof/>
          <w:lang w:eastAsia="en-US"/>
        </w:rPr>
        <w:drawing>
          <wp:inline distT="0" distB="0" distL="0" distR="0" wp14:anchorId="203C0C77" wp14:editId="793E3324">
            <wp:extent cx="4991100" cy="82385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010644" cy="827077"/>
                    </a:xfrm>
                    <a:prstGeom prst="rect">
                      <a:avLst/>
                    </a:prstGeom>
                    <a:noFill/>
                    <a:ln>
                      <a:noFill/>
                    </a:ln>
                  </pic:spPr>
                </pic:pic>
              </a:graphicData>
            </a:graphic>
          </wp:inline>
        </w:drawing>
      </w:r>
    </w:p>
    <w:p w14:paraId="0A4AC25D" w14:textId="2ECC86F0" w:rsidR="0069755F" w:rsidRDefault="0006588B" w:rsidP="0006588B">
      <w:pPr>
        <w:pStyle w:val="Contention2"/>
      </w:pPr>
      <w:bookmarkStart w:id="46" w:name="_Toc24201334"/>
      <w:r>
        <w:t>“Principal place of business”</w:t>
      </w:r>
      <w:bookmarkEnd w:id="46"/>
    </w:p>
    <w:p w14:paraId="3593F647" w14:textId="14DB6FA6" w:rsidR="0006588B" w:rsidRPr="002965FC" w:rsidRDefault="0006588B" w:rsidP="002965FC">
      <w:pPr>
        <w:pStyle w:val="Citation3"/>
      </w:pPr>
      <w:bookmarkStart w:id="47" w:name="_Toc24200181"/>
      <w:r w:rsidRPr="002965FC">
        <w:rPr>
          <w:u w:val="single"/>
        </w:rPr>
        <w:t>Judge Steven Rhodes 2013</w:t>
      </w:r>
      <w:r w:rsidRPr="002965FC">
        <w:t xml:space="preserve">. (US Bankruptcy Judge, Eastern District of Michigan) 22 Nov 2013 statement to the ABI Commission to Study the Reform of Chapter 11 on Chapter 11 Venue </w:t>
      </w:r>
      <w:hyperlink r:id="rId34" w:history="1">
        <w:r w:rsidR="002965FC" w:rsidRPr="00D9100E">
          <w:rPr>
            <w:rStyle w:val="Hyperlink"/>
          </w:rPr>
          <w:t>http://commission.abi.org/sites/default/files/statements/22nov2013/Rhodes-ABI-Commission.docx</w:t>
        </w:r>
        <w:bookmarkEnd w:id="47"/>
      </w:hyperlink>
      <w:r w:rsidR="002965FC">
        <w:t xml:space="preserve"> </w:t>
      </w:r>
      <w:r w:rsidR="002965FC" w:rsidRPr="002965FC">
        <w:t xml:space="preserve"> </w:t>
      </w:r>
    </w:p>
    <w:p w14:paraId="77617775" w14:textId="7A3F7AB7" w:rsidR="0006588B" w:rsidRDefault="0006588B" w:rsidP="0006588B">
      <w:pPr>
        <w:pStyle w:val="Evidence"/>
      </w:pPr>
      <w:r w:rsidRPr="00C906DC">
        <w:rPr>
          <w:u w:val="single"/>
        </w:rPr>
        <w:t>The Supreme Court has defined a corporation’s “principal place of business” as follows:</w:t>
      </w:r>
      <w:r w:rsidRPr="00C906DC">
        <w:rPr>
          <w:u w:val="single"/>
        </w:rPr>
        <w:br/>
        <w:t>We conclude that “principal place of business” is best read as referring to the place where a corporation’s officers direct, control, and coordinate the corporation’s activities.  It is the place that Courts of Appeals have called the corporation's “nerve center.”  And in practice it should normally be the place where the corporation maintains its headquarters</w:t>
      </w:r>
      <w:r>
        <w:t>—provided that the headquarters is the actual center of direction, control, and coordination, i.e., the “nerve center,” and not simply an office where the corporation holds its board meetings (for example, attended by directors and officers who have traveled there for the occasion).</w:t>
      </w:r>
      <w:r>
        <w:br/>
      </w:r>
      <w:r w:rsidRPr="0009482F">
        <w:rPr>
          <w:i/>
        </w:rPr>
        <w:t>Hertz Corp. v. Friend</w:t>
      </w:r>
      <w:r>
        <w:t>, 559 U.S. 77, 92-93, 130 S. Ct. 1181, 1192 (2010).</w:t>
      </w:r>
    </w:p>
    <w:p w14:paraId="3680FAFB" w14:textId="441A85D9" w:rsidR="00DC0670" w:rsidRDefault="00DC0670" w:rsidP="00DC0670">
      <w:pPr>
        <w:pStyle w:val="Contention1"/>
      </w:pPr>
      <w:bookmarkStart w:id="48" w:name="_Toc24201335"/>
      <w:r>
        <w:t>INHERENCY</w:t>
      </w:r>
      <w:bookmarkEnd w:id="48"/>
    </w:p>
    <w:p w14:paraId="4B62A5F4" w14:textId="7AC3B021" w:rsidR="004B46D0" w:rsidRDefault="004B46D0" w:rsidP="004B46D0">
      <w:pPr>
        <w:pStyle w:val="Contention2"/>
      </w:pPr>
      <w:bookmarkStart w:id="49" w:name="_Toc24201336"/>
      <w:r>
        <w:t>25% of bankruptcies go to just 3 of the 94 districts nationwide</w:t>
      </w:r>
      <w:bookmarkEnd w:id="49"/>
      <w:r>
        <w:t xml:space="preserve"> </w:t>
      </w:r>
    </w:p>
    <w:p w14:paraId="22856705" w14:textId="579AE51C" w:rsidR="004B46D0" w:rsidRPr="008C66C1" w:rsidRDefault="004B46D0" w:rsidP="004B46D0">
      <w:pPr>
        <w:pStyle w:val="Citation3"/>
      </w:pPr>
      <w:bookmarkStart w:id="50" w:name="_Toc24200182"/>
      <w:r w:rsidRPr="008C66C1">
        <w:rPr>
          <w:u w:val="single"/>
        </w:rPr>
        <w:t>Turnaround Management Association 2019.</w:t>
      </w:r>
      <w:r w:rsidRPr="008C66C1">
        <w:t xml:space="preserve"> (</w:t>
      </w:r>
      <w:r>
        <w:t>professional association for troubled corporate rescue and bankruptcy professionals</w:t>
      </w:r>
      <w:r w:rsidRPr="008C66C1">
        <w:t xml:space="preserve">) Goodbye, Delaware? Impact of Bankruptcy Venue Reform on Business, Boston and You! 13 Sept 2019 </w:t>
      </w:r>
      <w:hyperlink r:id="rId35" w:history="1">
        <w:r w:rsidR="00AD7F7E" w:rsidRPr="00C906DC">
          <w:rPr>
            <w:rStyle w:val="Hyperlink"/>
          </w:rPr>
          <w:t>https://turnaround.org/event/goodbye-delaware-impact-bankruptcy-venue-reform-business-boston-and-you</w:t>
        </w:r>
        <w:bookmarkEnd w:id="50"/>
      </w:hyperlink>
      <w:r w:rsidR="00AD7F7E">
        <w:rPr>
          <w:u w:color="7F7F7F"/>
        </w:rPr>
        <w:t xml:space="preserve"> </w:t>
      </w:r>
      <w:r w:rsidR="00AD7F7E">
        <w:t xml:space="preserve"> </w:t>
      </w:r>
    </w:p>
    <w:p w14:paraId="72CDFB70" w14:textId="77777777" w:rsidR="004B46D0" w:rsidRDefault="004B46D0" w:rsidP="004B46D0">
      <w:pPr>
        <w:pStyle w:val="Evidence"/>
      </w:pPr>
      <w:r>
        <w:rPr>
          <w:shd w:val="clear" w:color="auto" w:fill="FFFFFF"/>
        </w:rPr>
        <w:t>Restructuring and insolvency professionals across the country have routinely trekked to Wilmington, Delaware, the Southern District of New York, or, more recently, the Southern District of Texas to represent their clients in bankruptcy cases.  In 2017, out of 94 federal judicial districts, over 25% of Chapter 11 business filings were in these three districts alone.</w:t>
      </w:r>
    </w:p>
    <w:p w14:paraId="292E9FAE" w14:textId="4418E443" w:rsidR="00930FF2" w:rsidRDefault="00930FF2" w:rsidP="00C906DC">
      <w:pPr>
        <w:pStyle w:val="Contention2"/>
      </w:pPr>
      <w:bookmarkStart w:id="51" w:name="_Toc24201337"/>
      <w:r>
        <w:t xml:space="preserve">Venue shopping is epidemic.  70% of </w:t>
      </w:r>
      <w:r w:rsidR="00C57216">
        <w:t>public company</w:t>
      </w:r>
      <w:r>
        <w:t xml:space="preserve"> bankruptcies are outside their principal place of business, mostly in Delaware or N.Y.</w:t>
      </w:r>
      <w:bookmarkEnd w:id="51"/>
    </w:p>
    <w:p w14:paraId="2C00B49E" w14:textId="7E2E7750" w:rsidR="00930FF2" w:rsidRDefault="00930FF2" w:rsidP="00C906DC">
      <w:pPr>
        <w:pStyle w:val="Citation3"/>
      </w:pPr>
      <w:bookmarkStart w:id="52" w:name="_Toc24200183"/>
      <w:r w:rsidRPr="00C906DC">
        <w:rPr>
          <w:u w:val="single"/>
        </w:rPr>
        <w:t>Venue Committee of the Bankruptcy Section of the Minnesota State Bar Association 2016</w:t>
      </w:r>
      <w:r>
        <w:t xml:space="preserve">.  “Report of the Venue Committee of the Bankruptcy Section of the Minnesota State Bar Association in Support of Venue Fairness” 21 Jan 2016 </w:t>
      </w:r>
      <w:hyperlink r:id="rId36" w:history="1">
        <w:r>
          <w:rPr>
            <w:rStyle w:val="Hyperlink"/>
          </w:rPr>
          <w:t>https://clla.org/wp-content/uploads/2018/PDFs/Sections/Bankruptcy/1._Report_of_Venue_Fairness-.pdf</w:t>
        </w:r>
        <w:bookmarkEnd w:id="52"/>
      </w:hyperlink>
    </w:p>
    <w:p w14:paraId="57A4465A" w14:textId="53024274" w:rsidR="00930FF2" w:rsidRPr="00C906DC" w:rsidRDefault="00930FF2">
      <w:pPr>
        <w:pStyle w:val="Evidence"/>
        <w:rPr>
          <w:lang w:eastAsia="en-US"/>
        </w:rPr>
      </w:pPr>
      <w:r w:rsidRPr="00AD7F7E">
        <w:rPr>
          <w:noProof/>
          <w:lang w:eastAsia="en-US"/>
        </w:rPr>
        <w:drawing>
          <wp:inline distT="0" distB="0" distL="0" distR="0" wp14:anchorId="6C341EDA" wp14:editId="48C67D4F">
            <wp:extent cx="4948084" cy="958152"/>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17346" cy="971564"/>
                    </a:xfrm>
                    <a:prstGeom prst="rect">
                      <a:avLst/>
                    </a:prstGeom>
                    <a:noFill/>
                    <a:ln>
                      <a:noFill/>
                    </a:ln>
                  </pic:spPr>
                </pic:pic>
              </a:graphicData>
            </a:graphic>
          </wp:inline>
        </w:drawing>
      </w:r>
    </w:p>
    <w:p w14:paraId="137D6268" w14:textId="5249947D" w:rsidR="00675C2E" w:rsidRDefault="002B4058" w:rsidP="00675C2E">
      <w:pPr>
        <w:pStyle w:val="Contention2"/>
      </w:pPr>
      <w:bookmarkStart w:id="53" w:name="_Toc24201338"/>
      <w:r>
        <w:lastRenderedPageBreak/>
        <w:t xml:space="preserve">A/T </w:t>
      </w:r>
      <w:r w:rsidR="00675C2E">
        <w:t xml:space="preserve">“Venue can be challenged and transferred” – </w:t>
      </w:r>
      <w:r>
        <w:t xml:space="preserve"> </w:t>
      </w:r>
      <w:r w:rsidR="00675C2E">
        <w:t xml:space="preserve"> </w:t>
      </w:r>
      <w:r w:rsidR="00C57216">
        <w:t xml:space="preserve">Doesn’t solve.  It’s </w:t>
      </w:r>
      <w:r w:rsidR="00675C2E">
        <w:t>too expensive to mount a challenge</w:t>
      </w:r>
      <w:bookmarkEnd w:id="53"/>
    </w:p>
    <w:p w14:paraId="185C3D37" w14:textId="77777777" w:rsidR="00C57216" w:rsidRDefault="00C57216" w:rsidP="00C57216">
      <w:pPr>
        <w:pStyle w:val="Citation3"/>
      </w:pPr>
      <w:bookmarkStart w:id="54" w:name="_Toc24200184"/>
      <w:r w:rsidRPr="008C66C1">
        <w:rPr>
          <w:u w:val="single"/>
        </w:rPr>
        <w:t>Venue Committee of the Bankruptcy Section of the Minnesota State Bar Association 2016</w:t>
      </w:r>
      <w:r>
        <w:t xml:space="preserve">.  “Report of the Venue Committee of the Bankruptcy Section of the Minnesota State Bar Association in Support of Venue Fairness” 21 Jan 2016 </w:t>
      </w:r>
      <w:hyperlink r:id="rId38" w:history="1">
        <w:r>
          <w:rPr>
            <w:rStyle w:val="Hyperlink"/>
          </w:rPr>
          <w:t>https://clla.org/wp-content/uploads/2018/PDFs/Sections/Bankruptcy/1._Report_of_Venue_Fairness-.pdf</w:t>
        </w:r>
        <w:bookmarkEnd w:id="54"/>
      </w:hyperlink>
    </w:p>
    <w:p w14:paraId="1BC5D162" w14:textId="2739E5B5" w:rsidR="00C57216" w:rsidRDefault="00C57216" w:rsidP="00C906DC">
      <w:pPr>
        <w:pStyle w:val="Evidence"/>
      </w:pPr>
      <w:r w:rsidRPr="00C906DC">
        <w:rPr>
          <w:noProof/>
        </w:rPr>
        <w:drawing>
          <wp:inline distT="0" distB="0" distL="0" distR="0" wp14:anchorId="78BAB8B9" wp14:editId="2FCCE7C2">
            <wp:extent cx="5066071" cy="873572"/>
            <wp:effectExtent l="0" t="0" r="127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197724" cy="896274"/>
                    </a:xfrm>
                    <a:prstGeom prst="rect">
                      <a:avLst/>
                    </a:prstGeom>
                    <a:noFill/>
                    <a:ln>
                      <a:noFill/>
                    </a:ln>
                  </pic:spPr>
                </pic:pic>
              </a:graphicData>
            </a:graphic>
          </wp:inline>
        </w:drawing>
      </w:r>
    </w:p>
    <w:p w14:paraId="333B17DD" w14:textId="302E2713" w:rsidR="002F1C38" w:rsidRDefault="002B4058" w:rsidP="002F1C38">
      <w:pPr>
        <w:pStyle w:val="Contention2"/>
      </w:pPr>
      <w:bookmarkStart w:id="55" w:name="_Toc24201339"/>
      <w:r>
        <w:t xml:space="preserve">A/T </w:t>
      </w:r>
      <w:r w:rsidR="002F1C38">
        <w:t>“Technology</w:t>
      </w:r>
      <w:r>
        <w:t xml:space="preserve"> or </w:t>
      </w:r>
      <w:r w:rsidR="002F1C38">
        <w:t>Transfer solve</w:t>
      </w:r>
      <w:r>
        <w:t>”</w:t>
      </w:r>
      <w:r w:rsidR="002F1C38">
        <w:t xml:space="preserve"> –</w:t>
      </w:r>
      <w:r>
        <w:t xml:space="preserve"> </w:t>
      </w:r>
      <w:r w:rsidR="00D04AFF">
        <w:t xml:space="preserve"> Transfers don’t happen, </w:t>
      </w:r>
      <w:r w:rsidR="002F1C38">
        <w:t>technology doesn’t balance the playing field</w:t>
      </w:r>
      <w:bookmarkEnd w:id="55"/>
    </w:p>
    <w:p w14:paraId="5D027456" w14:textId="1EA12FC9" w:rsidR="002F1C38" w:rsidRDefault="002F1C38" w:rsidP="002F1C38">
      <w:pPr>
        <w:pStyle w:val="Citation3"/>
      </w:pPr>
      <w:bookmarkStart w:id="56" w:name="_Toc24200185"/>
      <w:r w:rsidRPr="002F1C38">
        <w:rPr>
          <w:u w:val="single"/>
        </w:rPr>
        <w:t>Prof. Melissa Jacoby 2011</w:t>
      </w:r>
      <w:r>
        <w:t xml:space="preserve"> (professor law, Univ. of N. Carolina Law School) 8 Sept 2011 HEARING BEFORE THE  SUBCOMMITTEE ON COURTS, COMMERCIAL AND ADMINISTRATIVE LAW OF THE COMMITTEE ON THE JUDICIARY, HOUSE OF REPRESENTATIVES, ONE HUNDRED TWELFTH CONGRESS FIRST SESSION ON H.R. 2533 </w:t>
      </w:r>
      <w:hyperlink r:id="rId40" w:history="1">
        <w:r w:rsidR="002965FC" w:rsidRPr="00D9100E">
          <w:rPr>
            <w:rStyle w:val="Hyperlink"/>
          </w:rPr>
          <w:t>http://www.gpo.gov/fdsys/pkg/CHRG-112hhrg68185/html/CHRG-112hhrg68185.htm</w:t>
        </w:r>
        <w:bookmarkEnd w:id="56"/>
      </w:hyperlink>
      <w:r w:rsidR="002965FC">
        <w:t xml:space="preserve"> </w:t>
      </w:r>
    </w:p>
    <w:p w14:paraId="397F200B" w14:textId="72E585D5" w:rsidR="002F1C38" w:rsidRDefault="002F1C38" w:rsidP="002F1C38">
      <w:pPr>
        <w:pStyle w:val="Evidence"/>
      </w:pPr>
      <w:r w:rsidRPr="002F1C38">
        <w:t>Some justify the system based on the possibility of requesting transfer and technology. We have already heard some responses to that. Absent support from the most powerful creditors in a case, transfer is not happening in the large cases, and we have known that really for at least 20 years. Technology is helpful but not seamless, and I am open to thinking about better ways to use it. It doesn't balance the playing field.</w:t>
      </w:r>
    </w:p>
    <w:p w14:paraId="19838F38" w14:textId="75BD3E8F" w:rsidR="00F54F14" w:rsidRDefault="00F54F14" w:rsidP="00F54F14">
      <w:pPr>
        <w:pStyle w:val="Contention2"/>
      </w:pPr>
      <w:bookmarkStart w:id="57" w:name="_Toc24201340"/>
      <w:r>
        <w:t>Remote conferencing doesn’t solve venue distance problems</w:t>
      </w:r>
      <w:bookmarkEnd w:id="57"/>
    </w:p>
    <w:p w14:paraId="3AF77877" w14:textId="4295E79D" w:rsidR="00F54F14" w:rsidRPr="00790B0D" w:rsidRDefault="00F54F14" w:rsidP="00F54F14">
      <w:pPr>
        <w:pStyle w:val="Citation3"/>
      </w:pPr>
      <w:bookmarkStart w:id="58" w:name="_Toc24200186"/>
      <w:r w:rsidRPr="00790B0D">
        <w:rPr>
          <w:u w:val="single"/>
        </w:rPr>
        <w:t xml:space="preserve">Prof. Laura Napoli </w:t>
      </w:r>
      <w:proofErr w:type="spellStart"/>
      <w:r w:rsidRPr="00790B0D">
        <w:rPr>
          <w:u w:val="single"/>
        </w:rPr>
        <w:t>Coordes</w:t>
      </w:r>
      <w:proofErr w:type="spellEnd"/>
      <w:r w:rsidRPr="00790B0D">
        <w:rPr>
          <w:u w:val="single"/>
        </w:rPr>
        <w:t xml:space="preserve"> 2015</w:t>
      </w:r>
      <w:r w:rsidRPr="00790B0D">
        <w:t xml:space="preserve"> (Visiting Assistant Professor, Sandra Day O'Connor College of Law, Arizona State University. J.D., University of Chicago Law School  ) VANDERBILT LAW REVIEW “ The Geography of Bankruptcy” </w:t>
      </w:r>
      <w:hyperlink r:id="rId41" w:history="1">
        <w:r w:rsidR="00AD7F7E" w:rsidRPr="0012518A">
          <w:rPr>
            <w:rStyle w:val="Hyperlink"/>
          </w:rPr>
          <w:t>https://www.questia.com/library/journal/1P3-3634551381/the-geography-of-bankruptcy</w:t>
        </w:r>
        <w:bookmarkEnd w:id="58"/>
      </w:hyperlink>
      <w:r w:rsidR="00AD7F7E">
        <w:t xml:space="preserve"> </w:t>
      </w:r>
    </w:p>
    <w:p w14:paraId="708552DA" w14:textId="5182BDB9" w:rsidR="00F54F14" w:rsidRPr="002F1C38" w:rsidRDefault="00F54F14" w:rsidP="002F1C38">
      <w:pPr>
        <w:pStyle w:val="Evidence"/>
      </w:pPr>
      <w:r>
        <w:rPr>
          <w:noProof/>
          <w:lang w:eastAsia="en-US"/>
        </w:rPr>
        <w:drawing>
          <wp:inline distT="0" distB="0" distL="0" distR="0" wp14:anchorId="1DFFCBC4" wp14:editId="3353F108">
            <wp:extent cx="5210175" cy="1711676"/>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13533" cy="1712779"/>
                    </a:xfrm>
                    <a:prstGeom prst="rect">
                      <a:avLst/>
                    </a:prstGeom>
                    <a:noFill/>
                    <a:ln>
                      <a:noFill/>
                    </a:ln>
                  </pic:spPr>
                </pic:pic>
              </a:graphicData>
            </a:graphic>
          </wp:inline>
        </w:drawing>
      </w:r>
    </w:p>
    <w:p w14:paraId="59C0E840" w14:textId="4100C6BB" w:rsidR="004046F5" w:rsidRDefault="004046F5" w:rsidP="004046F5">
      <w:pPr>
        <w:pStyle w:val="Contention2"/>
      </w:pPr>
      <w:bookmarkStart w:id="59" w:name="_Toc24201341"/>
      <w:r>
        <w:t xml:space="preserve">Delaware judge </w:t>
      </w:r>
      <w:r w:rsidR="00344DB0">
        <w:t>refused to send “Energy Future” bankruptcy to Dallas,</w:t>
      </w:r>
      <w:r>
        <w:t xml:space="preserve"> even though the </w:t>
      </w:r>
      <w:r w:rsidR="00344DB0">
        <w:t>company</w:t>
      </w:r>
      <w:r>
        <w:t xml:space="preserve"> headquarters was a 10-minute walk from the Dallas courthouse</w:t>
      </w:r>
      <w:bookmarkEnd w:id="59"/>
    </w:p>
    <w:p w14:paraId="32C9B0C9" w14:textId="4160A5EF" w:rsidR="004046F5" w:rsidRPr="00ED2663" w:rsidRDefault="001B3B79" w:rsidP="004046F5">
      <w:pPr>
        <w:pStyle w:val="Citation3"/>
      </w:pPr>
      <w:hyperlink r:id="rId43" w:history="1">
        <w:bookmarkStart w:id="60" w:name="_Toc24200187"/>
        <w:r w:rsidR="004046F5" w:rsidRPr="002965FC">
          <w:rPr>
            <w:u w:val="single"/>
          </w:rPr>
          <w:t>Patrick M. Birney</w:t>
        </w:r>
      </w:hyperlink>
      <w:r w:rsidR="004046F5" w:rsidRPr="002965FC">
        <w:rPr>
          <w:u w:val="single"/>
        </w:rPr>
        <w:t>, </w:t>
      </w:r>
      <w:hyperlink r:id="rId44" w:history="1">
        <w:r w:rsidR="004046F5" w:rsidRPr="002965FC">
          <w:rPr>
            <w:u w:val="single"/>
          </w:rPr>
          <w:t>Michael R. Enright</w:t>
        </w:r>
      </w:hyperlink>
      <w:r w:rsidR="004046F5" w:rsidRPr="002965FC">
        <w:rPr>
          <w:u w:val="single"/>
        </w:rPr>
        <w:t>, </w:t>
      </w:r>
      <w:hyperlink r:id="rId45" w:history="1">
        <w:r w:rsidR="004046F5" w:rsidRPr="002965FC">
          <w:rPr>
            <w:u w:val="single"/>
          </w:rPr>
          <w:t>Steven J. Boyajian</w:t>
        </w:r>
      </w:hyperlink>
      <w:r w:rsidR="004046F5" w:rsidRPr="002965FC">
        <w:rPr>
          <w:u w:val="single"/>
        </w:rPr>
        <w:t> and </w:t>
      </w:r>
      <w:hyperlink r:id="rId46" w:history="1">
        <w:r w:rsidR="004046F5" w:rsidRPr="002965FC">
          <w:rPr>
            <w:u w:val="single"/>
          </w:rPr>
          <w:t>Travis R. Searles</w:t>
        </w:r>
      </w:hyperlink>
      <w:r w:rsidR="004046F5" w:rsidRPr="002965FC">
        <w:rPr>
          <w:u w:val="single"/>
        </w:rPr>
        <w:t xml:space="preserve"> 2014 </w:t>
      </w:r>
      <w:r w:rsidR="004046F5" w:rsidRPr="00ED2663">
        <w:t xml:space="preserve">(attorneys with Robinson &amp; Cole law firm ) 29 July 2014 “Venue reform three years later“ </w:t>
      </w:r>
      <w:hyperlink r:id="rId47" w:history="1">
        <w:r w:rsidR="002965FC" w:rsidRPr="00D9100E">
          <w:rPr>
            <w:rStyle w:val="Hyperlink"/>
          </w:rPr>
          <w:t>http://www.lexology.com/library/detail.aspx?g=230db10d-4519-4867-b055-016de5dee778</w:t>
        </w:r>
        <w:bookmarkEnd w:id="60"/>
      </w:hyperlink>
      <w:r w:rsidR="002965FC">
        <w:t xml:space="preserve"> </w:t>
      </w:r>
    </w:p>
    <w:p w14:paraId="589AB32B" w14:textId="4503B811" w:rsidR="004046F5" w:rsidRDefault="004046F5" w:rsidP="004046F5">
      <w:pPr>
        <w:pStyle w:val="Evidence"/>
        <w:rPr>
          <w:shd w:val="clear" w:color="auto" w:fill="FFFFFF"/>
        </w:rPr>
      </w:pPr>
      <w:r w:rsidRPr="00344DB0">
        <w:rPr>
          <w:u w:val="single"/>
          <w:shd w:val="clear" w:color="auto" w:fill="FFFFFF"/>
        </w:rPr>
        <w:t>Notably, the indenture trustee pointed out that the  debtors’ corporate headquarters location was less than a ten-minute walk from the Dallas bankruptcy  court while the Delaware bankruptcy court was 1,436 miles away, and any court appearance in Delaware  would include costly and time-consuming travel.</w:t>
      </w:r>
      <w:r>
        <w:rPr>
          <w:shd w:val="clear" w:color="auto" w:fill="FFFFFF"/>
        </w:rPr>
        <w:t xml:space="preserve"> In short, according to Wilmington Savings, Dallas was a more convenient venue for the company’s constituents and executives</w:t>
      </w:r>
      <w:r w:rsidRPr="00344DB0">
        <w:rPr>
          <w:u w:val="single"/>
          <w:shd w:val="clear" w:color="auto" w:fill="FFFFFF"/>
        </w:rPr>
        <w:t>. In denying the indenture trustee’s motion, the Delaware bankruptcy court concluded that the decision on the motion was not even a “close call.” The judge stated that the statutory venue provisions authorized the chapter 11 filing in Delaware in the first instance because certain of Energy Future’s corporate affiliates were incorporated there</w:t>
      </w:r>
      <w:r>
        <w:rPr>
          <w:shd w:val="clear" w:color="auto" w:fill="FFFFFF"/>
        </w:rPr>
        <w:t>.</w:t>
      </w:r>
    </w:p>
    <w:p w14:paraId="5AB5338E" w14:textId="0DDA0965" w:rsidR="004B46D0" w:rsidRDefault="004B46D0" w:rsidP="002E3061">
      <w:pPr>
        <w:pStyle w:val="Contention2"/>
      </w:pPr>
      <w:bookmarkStart w:id="61" w:name="_Toc24201342"/>
      <w:r>
        <w:lastRenderedPageBreak/>
        <w:t>Venue forum shopping isn’t just the big corporations, it’s spreading to smaller ones too</w:t>
      </w:r>
      <w:bookmarkEnd w:id="61"/>
    </w:p>
    <w:p w14:paraId="250BCC99" w14:textId="77777777" w:rsidR="004B46D0" w:rsidRDefault="004B46D0" w:rsidP="004B46D0">
      <w:pPr>
        <w:pStyle w:val="Citation3"/>
      </w:pPr>
      <w:bookmarkStart w:id="62" w:name="_Toc24200188"/>
      <w:r w:rsidRPr="008C66C1">
        <w:rPr>
          <w:u w:val="single"/>
        </w:rPr>
        <w:t>National Conference of Bankruptcy Judges 2018</w:t>
      </w:r>
      <w:r>
        <w:t xml:space="preserve">. (voluntary association of United States Bankruptcy Judges, comprised of approximately 82% of the nation’s active and recalled bankruptcy judges) NCBJ Special Committee on Venue: Report on Proposal for Revision of the Venue Statute in Commercial Bankruptcy Cases   27 Nov 2018 </w:t>
      </w:r>
      <w:hyperlink r:id="rId48" w:history="1">
        <w:r>
          <w:rPr>
            <w:rStyle w:val="Hyperlink"/>
          </w:rPr>
          <w:t>https://cdn.ymaws.com/www.ncbj.org/resource/resmgr/docs_public/Venue_White_Paper_-_Final.pdf</w:t>
        </w:r>
        <w:bookmarkEnd w:id="62"/>
      </w:hyperlink>
    </w:p>
    <w:p w14:paraId="43A754B8" w14:textId="56B909E8" w:rsidR="004B46D0" w:rsidRDefault="004B46D0" w:rsidP="00C906DC">
      <w:pPr>
        <w:pStyle w:val="Evidence"/>
      </w:pPr>
      <w:r>
        <w:t>Venue shopping has spread to middle market and smaller cases, including real estate cases and chapter 7 business cases.  According to Judge Steven Rhodes, the bankruptcy judge (now retired) who presided over the City of Detroit case, “[the] current bankruptcy venue law is the single most significant source of injustice in chapter 11 cases.”</w:t>
      </w:r>
    </w:p>
    <w:p w14:paraId="21159830" w14:textId="7D2C6BE4" w:rsidR="0075587A" w:rsidRDefault="00EE0C11" w:rsidP="0075587A">
      <w:pPr>
        <w:pStyle w:val="Contention1"/>
      </w:pPr>
      <w:bookmarkStart w:id="63" w:name="_Toc24201343"/>
      <w:r>
        <w:t>HARMS</w:t>
      </w:r>
      <w:bookmarkEnd w:id="63"/>
    </w:p>
    <w:p w14:paraId="606C4B9F" w14:textId="0759984F" w:rsidR="00751391" w:rsidRDefault="00751391" w:rsidP="00751391">
      <w:pPr>
        <w:pStyle w:val="Contention2"/>
      </w:pPr>
      <w:bookmarkStart w:id="64" w:name="_Toc24201344"/>
      <w:r>
        <w:t>Venue shopping is unjust</w:t>
      </w:r>
      <w:bookmarkEnd w:id="64"/>
    </w:p>
    <w:p w14:paraId="1DF100FF" w14:textId="77777777" w:rsidR="00751391" w:rsidRDefault="00751391" w:rsidP="00751391">
      <w:pPr>
        <w:pStyle w:val="Citation3"/>
      </w:pPr>
      <w:bookmarkStart w:id="65" w:name="_Toc24200189"/>
      <w:r w:rsidRPr="00751391">
        <w:rPr>
          <w:u w:val="single"/>
        </w:rPr>
        <w:t>Judge Stephen Rhodes 2015</w:t>
      </w:r>
      <w:r w:rsidRPr="00751391">
        <w:t xml:space="preserve"> (</w:t>
      </w:r>
      <w:r>
        <w:t xml:space="preserve">30 </w:t>
      </w:r>
      <w:proofErr w:type="spellStart"/>
      <w:r>
        <w:t>years experience</w:t>
      </w:r>
      <w:proofErr w:type="spellEnd"/>
      <w:r>
        <w:t xml:space="preserve"> as a bankruptcy judge</w:t>
      </w:r>
      <w:r w:rsidRPr="00751391">
        <w:t xml:space="preserve">) WALL STREET JOURNAL 9 Feb 2015 “The Baffling Rejection of Venue Reform by the ABI Chapter 11 Reform Commission” </w:t>
      </w:r>
      <w:r>
        <w:t xml:space="preserve"> </w:t>
      </w:r>
      <w:hyperlink r:id="rId49" w:history="1">
        <w:r w:rsidRPr="00BC5850">
          <w:rPr>
            <w:rStyle w:val="Hyperlink"/>
          </w:rPr>
          <w:t>http://blogs.wsj.com/bankruptcy/2015/02/09/the-baffling-rejection-of-venue-reform-by-the-abi-chapter-11-reform-commission/</w:t>
        </w:r>
        <w:bookmarkEnd w:id="65"/>
      </w:hyperlink>
    </w:p>
    <w:p w14:paraId="41BFE8EA" w14:textId="55F61F99" w:rsidR="00751391" w:rsidRDefault="00751391" w:rsidP="00751391">
      <w:pPr>
        <w:pStyle w:val="Evidence"/>
      </w:pPr>
      <w:r w:rsidRPr="00751391">
        <w:t>But venue laws ought not allow one party in litigation to choose the law that will apply to its case. This is highly prejudicial to the other parties in the case. Law shopping is unjust.</w:t>
      </w:r>
      <w:r>
        <w:t xml:space="preserve"> </w:t>
      </w:r>
      <w:r w:rsidRPr="00751391">
        <w:t>There is no sound reason why, for example, a debtor that is based in Fairbanks, Alaska, and that has a collective bargaining agreement with its union in Fairbanks should be permitted to have its right to reject that agreement determined under Second Circuit case law just because it is incorporated in New York or has a subsidiary that filed there first. Such was surely not within the reasonable expectation of the parties to the collective bargaining agreement when they executed it.</w:t>
      </w:r>
      <w:r>
        <w:t xml:space="preserve"> </w:t>
      </w:r>
      <w:r w:rsidRPr="00751391">
        <w:t>The law applicable to a debtor’s bankruptcy case ought to be the law applicable in the state of its principle place of business, without an opportunity to choose other law.</w:t>
      </w:r>
    </w:p>
    <w:p w14:paraId="348B99CC" w14:textId="77777777" w:rsidR="000D39B9" w:rsidRDefault="000D39B9" w:rsidP="000D39B9">
      <w:pPr>
        <w:pStyle w:val="Contention2"/>
        <w:rPr>
          <w:shd w:val="clear" w:color="auto" w:fill="FFFFFF"/>
        </w:rPr>
      </w:pPr>
      <w:bookmarkStart w:id="66" w:name="_Toc24201345"/>
      <w:r>
        <w:rPr>
          <w:shd w:val="clear" w:color="auto" w:fill="FFFFFF"/>
        </w:rPr>
        <w:t>Companies could choose any venue to file bankruptcy, making it inconvenient or unfair for creditors</w:t>
      </w:r>
      <w:bookmarkEnd w:id="66"/>
    </w:p>
    <w:p w14:paraId="6A97FABA" w14:textId="77777777" w:rsidR="000D39B9" w:rsidRPr="002965FC" w:rsidRDefault="000D39B9" w:rsidP="000D39B9">
      <w:pPr>
        <w:pStyle w:val="Citation3"/>
      </w:pPr>
      <w:bookmarkStart w:id="67" w:name="_Toc24200190"/>
      <w:r w:rsidRPr="002965FC">
        <w:rPr>
          <w:u w:val="single"/>
        </w:rPr>
        <w:t>Judge Steven Rhodes 2013</w:t>
      </w:r>
      <w:r w:rsidRPr="002965FC">
        <w:t xml:space="preserve">. (US Bankruptcy Judge, Eastern District of Michigan) 22 Nov 2013 statement to the ABI Commission to Study the Reform of Chapter 11 on Chapter 11 Venue </w:t>
      </w:r>
      <w:hyperlink r:id="rId50" w:history="1">
        <w:r w:rsidRPr="00D9100E">
          <w:rPr>
            <w:rStyle w:val="Hyperlink"/>
          </w:rPr>
          <w:t>http://commission.abi.org/sites/default/files/statements/22nov2013/Rhodes-ABI-Commission.docx</w:t>
        </w:r>
        <w:bookmarkEnd w:id="67"/>
      </w:hyperlink>
      <w:r>
        <w:t xml:space="preserve"> </w:t>
      </w:r>
    </w:p>
    <w:p w14:paraId="637AA6AE" w14:textId="77777777" w:rsidR="000D39B9" w:rsidRDefault="000D39B9" w:rsidP="000D39B9">
      <w:pPr>
        <w:pStyle w:val="Evidence"/>
      </w:pPr>
      <w:r w:rsidRPr="000C705C">
        <w:rPr>
          <w:u w:val="single"/>
        </w:rPr>
        <w:t>The Supreme Court has observed, “In most instances, the purpose of statutorily specified venue is to protect the defendant against the risk that a plaintiff will select an unfair or inconvenient place of trial.”</w:t>
      </w:r>
      <w:r>
        <w:t xml:space="preserve">  </w:t>
      </w:r>
      <w:r w:rsidRPr="00050F61">
        <w:rPr>
          <w:i/>
        </w:rPr>
        <w:t>Leroy v. Great W. United Corp.</w:t>
      </w:r>
      <w:r>
        <w:t>, 443 U.S. 173, 183-184 (1979).  Many other cases echo this view. The treatises also reflect this view</w:t>
      </w:r>
      <w:r w:rsidRPr="000C705C">
        <w:rPr>
          <w:u w:val="single"/>
        </w:rPr>
        <w:t>. Likewise, the purpose of restricting venue in bankruptcy ought to be to protect creditors against the debtor’s venue choice.  The current law, however, does not accomplish that purpose. Under current law, a chapter 11 debtor may file in the state where its only connection is its incorporation or in any state where a subsidiary is incorporated</w:t>
      </w:r>
      <w:r>
        <w:t xml:space="preserve">.  11 U.S.C. § 1408.  </w:t>
      </w:r>
      <w:r w:rsidRPr="000C705C">
        <w:rPr>
          <w:u w:val="single"/>
        </w:rPr>
        <w:t xml:space="preserve">Indeed, it is not too farfetched to observe that under present law, many large corporations can find a way to file for chapter 11 bankruptcy in </w:t>
      </w:r>
      <w:r w:rsidRPr="000C705C">
        <w:rPr>
          <w:i/>
          <w:u w:val="single"/>
        </w:rPr>
        <w:t>any</w:t>
      </w:r>
      <w:r w:rsidRPr="000C705C">
        <w:rPr>
          <w:u w:val="single"/>
        </w:rPr>
        <w:t xml:space="preserve"> judicial district.  Simply stated, this venue “restriction” does nothing to protect creditors against the debtor’s selection of an unfair or inconvenient forum.</w:t>
      </w:r>
    </w:p>
    <w:p w14:paraId="495C7910" w14:textId="6B63A99E" w:rsidR="007454E8" w:rsidRDefault="007454E8" w:rsidP="00C906DC">
      <w:pPr>
        <w:pStyle w:val="Contention2"/>
      </w:pPr>
      <w:bookmarkStart w:id="68" w:name="_Toc24201346"/>
      <w:r>
        <w:lastRenderedPageBreak/>
        <w:t>Venue shopping denies participation of some of the parties, compromises the integrity of the judicial process</w:t>
      </w:r>
      <w:bookmarkEnd w:id="68"/>
    </w:p>
    <w:p w14:paraId="52188100" w14:textId="77777777" w:rsidR="007454E8" w:rsidRDefault="007454E8" w:rsidP="007454E8">
      <w:pPr>
        <w:pStyle w:val="Citation3"/>
      </w:pPr>
      <w:bookmarkStart w:id="69" w:name="_Toc24200191"/>
      <w:r w:rsidRPr="008C66C1">
        <w:rPr>
          <w:u w:val="single"/>
        </w:rPr>
        <w:t>National Conference of Bankruptcy Judges 2018</w:t>
      </w:r>
      <w:r>
        <w:t xml:space="preserve">. (voluntary association of United States Bankruptcy Judges, comprised of approximately 82% of the nation’s active and recalled bankruptcy judges) NCBJ Special Committee on Venue: Report on Proposal for Revision of the Venue Statute in Commercial Bankruptcy Cases   27 Nov 2018 </w:t>
      </w:r>
      <w:hyperlink r:id="rId51" w:history="1">
        <w:r>
          <w:rPr>
            <w:rStyle w:val="Hyperlink"/>
          </w:rPr>
          <w:t>https://cdn.ymaws.com/www.ncbj.org/resource/resmgr/docs_public/Venue_White_Paper_-_Final.pdf</w:t>
        </w:r>
        <w:bookmarkEnd w:id="69"/>
      </w:hyperlink>
    </w:p>
    <w:p w14:paraId="6DD8F25E" w14:textId="014548AF" w:rsidR="007454E8" w:rsidRPr="00751391" w:rsidRDefault="007454E8" w:rsidP="00751391">
      <w:pPr>
        <w:pStyle w:val="Evidence"/>
      </w:pPr>
      <w:r>
        <w:t>Many scholars and experts in bankruptcy law believe that venue shopping and the concentration of large chapter 11 cases in two districts is a problem.  Several witnesses who testified before the ABI Commission to Study the Reform of Chapter 11 in public hearings held between 2012 and 2014 expressed the view that “venue choice has a negative impact on judicial legitimacy.” “The Honorable Steven Rhodes of the U.S. Bankruptcy Court for the Eastern District of Michigan [Ret.] has stated that venue choice has a negative impact on the judicial legitimacy, especially when it prevents or impairs the meaningful participation of any of the parties, ultimately undermining the integrity of the adjudication process itself.”</w:t>
      </w:r>
    </w:p>
    <w:p w14:paraId="13B48EF9" w14:textId="3DB277D6" w:rsidR="00EE0C11" w:rsidRDefault="00EE0C11" w:rsidP="00EE0C11">
      <w:pPr>
        <w:pStyle w:val="Contention2"/>
      </w:pPr>
      <w:bookmarkStart w:id="70" w:name="_Toc24201347"/>
      <w:r>
        <w:t>Venue shopping demeans the entire system – it suggests the bankruptcy courts are for sale</w:t>
      </w:r>
      <w:bookmarkEnd w:id="70"/>
    </w:p>
    <w:p w14:paraId="2D00D33D" w14:textId="5D73A9CB" w:rsidR="00EE0C11" w:rsidRPr="00EE0C11" w:rsidRDefault="00EE0C11" w:rsidP="00EE0C11">
      <w:pPr>
        <w:pStyle w:val="Citation3"/>
      </w:pPr>
      <w:bookmarkStart w:id="71" w:name="_Toc24200192"/>
      <w:r w:rsidRPr="00EE0C11">
        <w:rPr>
          <w:u w:val="single"/>
        </w:rPr>
        <w:t xml:space="preserve">Prof. Lynn M. </w:t>
      </w:r>
      <w:proofErr w:type="spellStart"/>
      <w:r w:rsidRPr="00EE0C11">
        <w:rPr>
          <w:u w:val="single"/>
        </w:rPr>
        <w:t>LoPucki</w:t>
      </w:r>
      <w:proofErr w:type="spellEnd"/>
      <w:r w:rsidRPr="00EE0C11">
        <w:rPr>
          <w:u w:val="single"/>
        </w:rPr>
        <w:t xml:space="preserve">  &amp; Prof. Joseph W. Doherty 2006</w:t>
      </w:r>
      <w:r w:rsidRPr="00EE0C11">
        <w:t>. (</w:t>
      </w:r>
      <w:proofErr w:type="spellStart"/>
      <w:r w:rsidRPr="00EE0C11">
        <w:t>LoPucki</w:t>
      </w:r>
      <w:proofErr w:type="spellEnd"/>
      <w:r w:rsidRPr="00EE0C11">
        <w:t xml:space="preserve"> - Professor of Law at the UCLA School of Law. Doherty - Visiting Professor of Law at the Harvard Law School) UNIVERSITY OF CHICAGO LAW REVIEW, “Delaware Bankruptcy: Failure in the Ascendancy“ </w:t>
      </w:r>
      <w:hyperlink r:id="rId52" w:history="1">
        <w:r w:rsidR="002965FC" w:rsidRPr="00D9100E">
          <w:rPr>
            <w:rStyle w:val="Hyperlink"/>
          </w:rPr>
          <w:t>https://lawreview.uchicago.edu/sites/lawreview.uchicago.edu/files/uploads/73.4/73_4_LoPucki_Doherty.pdf</w:t>
        </w:r>
        <w:bookmarkEnd w:id="71"/>
      </w:hyperlink>
      <w:r w:rsidR="002965FC">
        <w:t xml:space="preserve"> </w:t>
      </w:r>
    </w:p>
    <w:p w14:paraId="0521CFC5" w14:textId="637489C6" w:rsidR="00EE0C11" w:rsidRDefault="00EE0C11" w:rsidP="00EE0C11">
      <w:pPr>
        <w:pStyle w:val="Evidence"/>
      </w:pPr>
      <w:r>
        <w:t xml:space="preserve">For example, </w:t>
      </w:r>
      <w:r w:rsidRPr="00EE0C11">
        <w:rPr>
          <w:u w:val="single"/>
        </w:rPr>
        <w:t>in a survey by the Federal Judicial Center, 22 percent of bankruptcy judges said that they were aware of one or more Chapter 11 cases filed in another district that should have been transferred to their district but were not</w:t>
      </w:r>
      <w:r>
        <w:t xml:space="preserve">. Federal Judicial Center, </w:t>
      </w:r>
      <w:r>
        <w:rPr>
          <w:rFonts w:ascii="TimesTen-Italic" w:hAnsi="TimesTen-Italic" w:cs="TimesTen-Italic"/>
          <w:i/>
          <w:iCs/>
        </w:rPr>
        <w:t xml:space="preserve">Chapter 11 Venue Choice by Large Public Companies </w:t>
      </w:r>
      <w:r>
        <w:t xml:space="preserve">19 (1997). </w:t>
      </w:r>
      <w:r w:rsidRPr="00EE0C11">
        <w:rPr>
          <w:u w:val="single"/>
        </w:rPr>
        <w:t>A large majority of the cases they identified were filed in the District of Delaware or the Southern District of New York</w:t>
      </w:r>
      <w:r>
        <w:t xml:space="preserve">. Id at 20. </w:t>
      </w:r>
      <w:r w:rsidRPr="00EE0C11">
        <w:rPr>
          <w:u w:val="single"/>
        </w:rPr>
        <w:t xml:space="preserve">Chicago bankruptcy lawyer Gerald </w:t>
      </w:r>
      <w:proofErr w:type="spellStart"/>
      <w:r w:rsidRPr="00EE0C11">
        <w:rPr>
          <w:u w:val="single"/>
        </w:rPr>
        <w:t>Munitz</w:t>
      </w:r>
      <w:proofErr w:type="spellEnd"/>
      <w:r w:rsidRPr="00EE0C11">
        <w:rPr>
          <w:u w:val="single"/>
        </w:rPr>
        <w:t xml:space="preserve"> told the National Bankruptcy Review Commission that forum shopping “demeaned the entire system by suggesting that the bankruptcy courts were for sale</w:t>
      </w:r>
      <w:r>
        <w:t>.”</w:t>
      </w:r>
    </w:p>
    <w:p w14:paraId="2B12677F" w14:textId="77777777" w:rsidR="007454E8" w:rsidRDefault="007454E8" w:rsidP="007454E8">
      <w:pPr>
        <w:pStyle w:val="Contention2"/>
      </w:pPr>
      <w:bookmarkStart w:id="72" w:name="_Toc24201348"/>
      <w:r>
        <w:t>Judge Bias:  Cases go to Delaware because they do what debtor companies want, and they allow big legal fees</w:t>
      </w:r>
      <w:bookmarkEnd w:id="72"/>
    </w:p>
    <w:p w14:paraId="7C194BA0" w14:textId="77777777" w:rsidR="007454E8" w:rsidRDefault="007454E8" w:rsidP="007454E8">
      <w:pPr>
        <w:pStyle w:val="Citation3"/>
      </w:pPr>
      <w:bookmarkStart w:id="73" w:name="_Toc24200193"/>
      <w:r w:rsidRPr="004522C1">
        <w:rPr>
          <w:u w:val="single"/>
        </w:rPr>
        <w:t>Reuters news service 2014</w:t>
      </w:r>
      <w:r w:rsidRPr="004522C1">
        <w:t xml:space="preserve"> (journalists Tom Hals and Nick Brown) 29 Apr 2014 Delaware messes with Texas, sparks fight over mega-bankruptcy</w:t>
      </w:r>
      <w:r>
        <w:t xml:space="preserve"> </w:t>
      </w:r>
      <w:hyperlink r:id="rId53" w:history="1">
        <w:r w:rsidRPr="00D9100E">
          <w:rPr>
            <w:rStyle w:val="Hyperlink"/>
          </w:rPr>
          <w:t>http://www.reuters.com/article/2014/04/29/efh-bankrkputcy-venue-idUSL2N0NL1VQ20140429</w:t>
        </w:r>
        <w:bookmarkEnd w:id="73"/>
      </w:hyperlink>
      <w:r>
        <w:t xml:space="preserve"> </w:t>
      </w:r>
    </w:p>
    <w:p w14:paraId="717726D1" w14:textId="77777777" w:rsidR="007454E8" w:rsidRPr="004522C1" w:rsidRDefault="007454E8" w:rsidP="007454E8">
      <w:pPr>
        <w:pStyle w:val="Evidence"/>
      </w:pPr>
      <w:r w:rsidRPr="004522C1">
        <w:t>Critics have long complained that the Wilmington and Manhattan bankruptcy courts bend over backwards to please lawyers that represent bankrupt companies, often to the detriment of creditors and employees.</w:t>
      </w:r>
      <w:r>
        <w:t xml:space="preserve"> </w:t>
      </w:r>
      <w:r w:rsidRPr="004522C1">
        <w:t xml:space="preserve">Lynn </w:t>
      </w:r>
      <w:proofErr w:type="spellStart"/>
      <w:r w:rsidRPr="004522C1">
        <w:t>LoPucki</w:t>
      </w:r>
      <w:proofErr w:type="spellEnd"/>
      <w:r w:rsidRPr="004522C1">
        <w:t>, a law professor at the University of California Los Angeles, describes a form of quid pro quo in his book "Courting Failure": The court tends to defer to the wishes of debtors while approving big legal fees, so lawyers bring almost every sizeable case to one of those courts.</w:t>
      </w:r>
    </w:p>
    <w:p w14:paraId="7C19CD16" w14:textId="671FC1CB" w:rsidR="00EE363B" w:rsidRDefault="00EE363B" w:rsidP="00EE363B">
      <w:pPr>
        <w:pStyle w:val="Contention2"/>
      </w:pPr>
      <w:bookmarkStart w:id="74" w:name="_Toc24201349"/>
      <w:r>
        <w:t>Legitimacy is undermined because parties are blocked from participating in the legal process</w:t>
      </w:r>
      <w:bookmarkEnd w:id="74"/>
    </w:p>
    <w:p w14:paraId="04DDB71D" w14:textId="7F06EA16" w:rsidR="00EE363B" w:rsidRPr="00CB575D" w:rsidRDefault="00EE363B" w:rsidP="00CB575D">
      <w:pPr>
        <w:pStyle w:val="Citation3"/>
      </w:pPr>
      <w:bookmarkStart w:id="75" w:name="_Toc24200194"/>
      <w:r w:rsidRPr="00CB575D">
        <w:rPr>
          <w:u w:val="single"/>
        </w:rPr>
        <w:t>Judge Steven Rhodes 2013</w:t>
      </w:r>
      <w:r w:rsidRPr="00CB575D">
        <w:t xml:space="preserve">. (US Bankruptcy Judge, Eastern District of Michigan) 22 Nov 2013 statement to the ABI Commission to Study the Reform of Chapter 11 on Chapter 11 Venue (brackets and ellipses in original) </w:t>
      </w:r>
      <w:hyperlink r:id="rId54" w:history="1">
        <w:r w:rsidR="00CB575D" w:rsidRPr="00D9100E">
          <w:rPr>
            <w:rStyle w:val="Hyperlink"/>
          </w:rPr>
          <w:t>http://commission.abi.org/sites/default/files/statements/22nov2013/Rhodes-ABI-Commission.docx</w:t>
        </w:r>
        <w:bookmarkEnd w:id="75"/>
      </w:hyperlink>
      <w:r w:rsidR="00CB575D">
        <w:t xml:space="preserve"> </w:t>
      </w:r>
    </w:p>
    <w:p w14:paraId="48C67939" w14:textId="77777777" w:rsidR="00EE363B" w:rsidRDefault="00EE363B" w:rsidP="00EE363B">
      <w:pPr>
        <w:pStyle w:val="Evidence"/>
      </w:pPr>
      <w:r w:rsidRPr="001A6AF0">
        <w:rPr>
          <w:u w:val="single"/>
        </w:rPr>
        <w:t>Venue-shopping in chapter 11 cases undermines judicial legitimacy when it prevents or even impairs the meaningful participation of any of the parties.  It also underlines the integrity of the adjudication process itself.  Because the fulfillment of the judiciary’s mission depends so fundamentally on its legitimacy in the eyes of the public, chapter 11 venue should be carefully restricted to maximize the participation of the parties</w:t>
      </w:r>
      <w:r>
        <w:t>.  Although there is likely no single venue in a large chapter 11 case that will perfectly facilitate this goal, venue in the district of the debtor’s principal place of business appears to offer the best opportunity.</w:t>
      </w:r>
    </w:p>
    <w:p w14:paraId="01256790" w14:textId="485A8919" w:rsidR="00EE363B" w:rsidRDefault="00EE363B" w:rsidP="00EE363B">
      <w:pPr>
        <w:pStyle w:val="Contention2"/>
      </w:pPr>
      <w:bookmarkStart w:id="76" w:name="_Toc24201350"/>
      <w:r>
        <w:lastRenderedPageBreak/>
        <w:t>Impact:  Legitimacy is key to the functioning of the judicial branch of government and to public respect for the law</w:t>
      </w:r>
      <w:bookmarkEnd w:id="76"/>
    </w:p>
    <w:p w14:paraId="1302A95A" w14:textId="1D7C8FE3" w:rsidR="00EE363B" w:rsidRPr="00CB575D" w:rsidRDefault="00EE363B" w:rsidP="00CB575D">
      <w:pPr>
        <w:pStyle w:val="Citation3"/>
      </w:pPr>
      <w:bookmarkStart w:id="77" w:name="_Toc24200195"/>
      <w:r w:rsidRPr="00CB575D">
        <w:rPr>
          <w:u w:val="single"/>
        </w:rPr>
        <w:t>Judge Steven Rhodes 2013</w:t>
      </w:r>
      <w:r w:rsidRPr="00CB575D">
        <w:t xml:space="preserve">. (US Bankruptcy Judge, Eastern District of Michigan) 22 Nov 2013 statement to the ABI Commission to Study the Reform of Chapter 11 on Chapter 11 Venue (brackets and ellipses in original) </w:t>
      </w:r>
      <w:hyperlink r:id="rId55" w:history="1">
        <w:r w:rsidR="00CB575D" w:rsidRPr="00D9100E">
          <w:rPr>
            <w:rStyle w:val="Hyperlink"/>
          </w:rPr>
          <w:t>http://commission.abi.org/sites/default/files/statements/22nov2013/Rhodes-ABI-Commission.docx</w:t>
        </w:r>
        <w:bookmarkEnd w:id="77"/>
      </w:hyperlink>
      <w:r w:rsidR="00CB575D">
        <w:t xml:space="preserve"> </w:t>
      </w:r>
    </w:p>
    <w:p w14:paraId="68279159" w14:textId="39FCEC89" w:rsidR="00EE363B" w:rsidRDefault="00EE363B" w:rsidP="00EE363B">
      <w:pPr>
        <w:pStyle w:val="Evidence"/>
      </w:pPr>
      <w:r w:rsidRPr="000A4477">
        <w:rPr>
          <w:u w:val="single"/>
        </w:rPr>
        <w:t xml:space="preserve">Legitimacy is essential to the proper functioning of the judiciary.  </w:t>
      </w:r>
      <w:r w:rsidRPr="00994F27">
        <w:t>“As Americans of each succeeding generation are rightly told, the [Supreme] Court cannot buy support for its decisions by spending money and, except to a minor degree, it cannot independently coerce obedience to its decrees.  The Court’s power lies, rather, in its legitimacy.”</w:t>
      </w:r>
      <w:r>
        <w:t xml:space="preserve">  </w:t>
      </w:r>
      <w:r w:rsidRPr="00E40135">
        <w:rPr>
          <w:i/>
        </w:rPr>
        <w:t>Planned Parenthood v Casey</w:t>
      </w:r>
      <w:r w:rsidRPr="00BF22BE">
        <w:t>, 505 US 833, 865 (1992).</w:t>
      </w:r>
      <w:r>
        <w:t xml:space="preserve">  </w:t>
      </w:r>
      <w:r w:rsidRPr="00BF22BE">
        <w:t xml:space="preserve">Alexander Hamilton famously </w:t>
      </w:r>
      <w:r>
        <w:t>stated</w:t>
      </w:r>
      <w:r w:rsidRPr="00BF22BE">
        <w:t xml:space="preserve">, </w:t>
      </w:r>
      <w:r>
        <w:t>“</w:t>
      </w:r>
      <w:r w:rsidRPr="00BF22BE">
        <w:t>The judiciary has the power of neither the purse nor the sword.</w:t>
      </w:r>
      <w:r>
        <w:t xml:space="preserve">”  </w:t>
      </w:r>
      <w:r w:rsidRPr="00A16A04">
        <w:t>Federalist 78 (Hamilton), in The Federalist Papers 521, 523 (Wesleyan 1961) (Jacob E. Cooke, ed).</w:t>
      </w:r>
      <w:r>
        <w:t xml:space="preserve"> This commentator concisely argues the case for judicial legitimacy:</w:t>
      </w:r>
      <w:r>
        <w:br/>
      </w:r>
      <w:r w:rsidRPr="000A4477">
        <w:rPr>
          <w:u w:val="single"/>
        </w:rPr>
        <w:t>Positive public perception of the judiciary’s role in American political life is indispensable to the effectiveness of the judicial branch</w:t>
      </w:r>
      <w:r>
        <w:t xml:space="preserve">.  Indeed, this collective perception is the very source of judicial legitimacy, the </w:t>
      </w:r>
      <w:r w:rsidRPr="002201D6">
        <w:rPr>
          <w:i/>
        </w:rPr>
        <w:t xml:space="preserve">sine qua </w:t>
      </w:r>
      <w:proofErr w:type="spellStart"/>
      <w:r w:rsidRPr="002201D6">
        <w:rPr>
          <w:i/>
        </w:rPr>
        <w:t>non</w:t>
      </w:r>
      <w:r>
        <w:t xml:space="preserve"> of</w:t>
      </w:r>
      <w:proofErr w:type="spellEnd"/>
      <w:r>
        <w:t xml:space="preserve"> our common law system. </w:t>
      </w:r>
      <w:r w:rsidRPr="000A4477">
        <w:rPr>
          <w:u w:val="single"/>
        </w:rPr>
        <w:t xml:space="preserve">The concept of judicial legitimacy resides at the center of the constitutional doctrine of an independent judiciary and is the primary reason why people respect and obey the law.  </w:t>
      </w:r>
      <w:r w:rsidRPr="00994F27">
        <w:t>Thus, when the public views the judiciary as legitimate, the legitimacy of the entire legal system is nourished and strengthened.</w:t>
      </w:r>
      <w:r w:rsidRPr="00551967">
        <w:t xml:space="preserve"> </w:t>
      </w:r>
      <w:r>
        <w:t xml:space="preserve"> </w:t>
      </w:r>
      <w:r w:rsidRPr="00551967">
        <w:t>In short, if judicial independence is the lifeblood of the legal body politic, then judicial legitimacy is the immune system.</w:t>
      </w:r>
      <w:r>
        <w:t xml:space="preserve"> *** </w:t>
      </w:r>
      <w:r w:rsidRPr="001276EF">
        <w:t>Thus the concern here is not simply whether people generally believe in the legitimacy of judges, but for what reasons and with what reservations.</w:t>
      </w:r>
      <w:r>
        <w:br/>
        <w:t xml:space="preserve">Gregory C. Pingree, </w:t>
      </w:r>
      <w:r w:rsidRPr="001276EF">
        <w:rPr>
          <w:i/>
        </w:rPr>
        <w:t>Where Lies the E</w:t>
      </w:r>
      <w:r>
        <w:rPr>
          <w:i/>
        </w:rPr>
        <w:t>mperor’</w:t>
      </w:r>
      <w:r w:rsidRPr="001276EF">
        <w:rPr>
          <w:i/>
        </w:rPr>
        <w:t>s Robe? An Inquiry Into the Problem of Judicial Legitimacy</w:t>
      </w:r>
      <w:r>
        <w:t xml:space="preserve">, 86 </w:t>
      </w:r>
      <w:r w:rsidRPr="001276EF">
        <w:rPr>
          <w:smallCaps/>
        </w:rPr>
        <w:t>Or. L. Rev.</w:t>
      </w:r>
      <w:r>
        <w:t xml:space="preserve"> 1095, 1102 -1103 (2007).</w:t>
      </w:r>
    </w:p>
    <w:p w14:paraId="25BC4666" w14:textId="45D160C0" w:rsidR="00872B1E" w:rsidRDefault="00872B1E" w:rsidP="00C906DC">
      <w:pPr>
        <w:pStyle w:val="Contention2"/>
      </w:pPr>
      <w:bookmarkStart w:id="78" w:name="_Toc24201351"/>
      <w:r>
        <w:t>Venue shopping promotes mismanagement.  Debtors choose courts that will not supervise their mismanagement or jeopardize their cash bonuses</w:t>
      </w:r>
      <w:bookmarkEnd w:id="78"/>
    </w:p>
    <w:p w14:paraId="42E58189" w14:textId="77777777" w:rsidR="00872B1E" w:rsidRPr="00EE0C11" w:rsidRDefault="00872B1E" w:rsidP="00872B1E">
      <w:pPr>
        <w:pStyle w:val="Citation3"/>
      </w:pPr>
      <w:bookmarkStart w:id="79" w:name="_Toc24200196"/>
      <w:r w:rsidRPr="00EE0C11">
        <w:rPr>
          <w:u w:val="single"/>
        </w:rPr>
        <w:t xml:space="preserve">Prof. Lynn M. </w:t>
      </w:r>
      <w:proofErr w:type="spellStart"/>
      <w:r w:rsidRPr="00EE0C11">
        <w:rPr>
          <w:u w:val="single"/>
        </w:rPr>
        <w:t>LoPucki</w:t>
      </w:r>
      <w:proofErr w:type="spellEnd"/>
      <w:r w:rsidRPr="00EE0C11">
        <w:rPr>
          <w:u w:val="single"/>
        </w:rPr>
        <w:t xml:space="preserve">  &amp; Prof. Joseph W. Doherty 2006</w:t>
      </w:r>
      <w:r w:rsidRPr="00EE0C11">
        <w:t>. (</w:t>
      </w:r>
      <w:proofErr w:type="spellStart"/>
      <w:r w:rsidRPr="00EE0C11">
        <w:t>LoPucki</w:t>
      </w:r>
      <w:proofErr w:type="spellEnd"/>
      <w:r w:rsidRPr="00EE0C11">
        <w:t xml:space="preserve"> - Professor of Law at the UCLA School of Law. Doherty - Visiting Professor of Law at the Harvard Law School) UNIVERSITY OF CHICAGO LAW REVIEW, “Delaware Bankruptcy: Failure in the Ascendancy“ </w:t>
      </w:r>
      <w:hyperlink r:id="rId56" w:history="1">
        <w:r w:rsidRPr="00D9100E">
          <w:rPr>
            <w:rStyle w:val="Hyperlink"/>
          </w:rPr>
          <w:t>https://lawreview.uchicago.edu/sites/lawreview.uchicago.edu/files/uploads/73.4/73_4_LoPucki_Doherty.pdf</w:t>
        </w:r>
        <w:bookmarkEnd w:id="79"/>
      </w:hyperlink>
      <w:r>
        <w:t xml:space="preserve"> </w:t>
      </w:r>
    </w:p>
    <w:p w14:paraId="79A72D5F" w14:textId="77777777" w:rsidR="00872B1E" w:rsidRDefault="00872B1E" w:rsidP="00872B1E">
      <w:pPr>
        <w:pStyle w:val="Evidence"/>
      </w:pPr>
      <w:r>
        <w:rPr>
          <w:noProof/>
          <w:lang w:eastAsia="en-US"/>
        </w:rPr>
        <w:drawing>
          <wp:inline distT="0" distB="0" distL="0" distR="0" wp14:anchorId="1D849617" wp14:editId="027EBE82">
            <wp:extent cx="4143375" cy="1155363"/>
            <wp:effectExtent l="0" t="0" r="0" b="69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162172" cy="1160604"/>
                    </a:xfrm>
                    <a:prstGeom prst="rect">
                      <a:avLst/>
                    </a:prstGeom>
                    <a:noFill/>
                    <a:ln>
                      <a:noFill/>
                    </a:ln>
                  </pic:spPr>
                </pic:pic>
              </a:graphicData>
            </a:graphic>
          </wp:inline>
        </w:drawing>
      </w:r>
    </w:p>
    <w:p w14:paraId="1A6918DC" w14:textId="77405E84" w:rsidR="00151515" w:rsidRDefault="00151515" w:rsidP="00151515">
      <w:pPr>
        <w:pStyle w:val="Contention2"/>
      </w:pPr>
      <w:bookmarkStart w:id="80" w:name="_Toc24201352"/>
      <w:r>
        <w:lastRenderedPageBreak/>
        <w:t>Real life example:  A Memphis, Tenn. Company filed for bankruptcy in Delaware. It cost the landlo</w:t>
      </w:r>
      <w:r w:rsidR="00540829">
        <w:t>rd $4000-$5000 because he didn’t have the resources to resist</w:t>
      </w:r>
      <w:bookmarkEnd w:id="80"/>
    </w:p>
    <w:p w14:paraId="2F94B715" w14:textId="433D129F" w:rsidR="00540829" w:rsidRPr="00CB575D" w:rsidRDefault="00540829" w:rsidP="00CB575D">
      <w:pPr>
        <w:pStyle w:val="Constructive"/>
        <w:rPr>
          <w:b/>
        </w:rPr>
      </w:pPr>
      <w:r w:rsidRPr="00CB575D">
        <w:rPr>
          <w:b/>
        </w:rPr>
        <w:t>Analysis: It shows that debtors use a remote venue to avoid paying what they owe when they know the creditor can’t get to the courthouse to make their claim.</w:t>
      </w:r>
    </w:p>
    <w:p w14:paraId="49253289" w14:textId="77777777" w:rsidR="00151515" w:rsidRDefault="00151515" w:rsidP="00151515">
      <w:pPr>
        <w:pStyle w:val="Citation3"/>
      </w:pPr>
      <w:bookmarkStart w:id="81" w:name="_Toc24200197"/>
      <w:r w:rsidRPr="00151515">
        <w:rPr>
          <w:u w:val="single"/>
        </w:rPr>
        <w:t xml:space="preserve">Peter </w:t>
      </w:r>
      <w:proofErr w:type="spellStart"/>
      <w:r w:rsidRPr="00151515">
        <w:rPr>
          <w:u w:val="single"/>
        </w:rPr>
        <w:t>Califano</w:t>
      </w:r>
      <w:proofErr w:type="spellEnd"/>
      <w:r w:rsidRPr="00151515">
        <w:rPr>
          <w:u w:val="single"/>
        </w:rPr>
        <w:t xml:space="preserve"> 2011</w:t>
      </w:r>
      <w:r>
        <w:t xml:space="preserve"> (</w:t>
      </w:r>
      <w:r w:rsidRPr="00151515">
        <w:t>bankruptcy attorney at Cooper White &amp; Cooper in San Francisco where he chairs the bankruptcy and creditors' rights groups</w:t>
      </w:r>
      <w:r>
        <w:t xml:space="preserve">) 8 Sept 2011 HEARING BEFORE THE  SUBCOMMITTEE ON COURTS, COMMERCIAL AND ADMINISTRATIVE LAW OF THE COMMITTEE ON THE JUDICIARY, HOUSE OF REPRESENTATIVES, ONE HUNDRED TWELFTH CONGRESS FIRST SESSION ON H.R. 2533 </w:t>
      </w:r>
      <w:hyperlink r:id="rId58" w:history="1">
        <w:r w:rsidRPr="007A20CA">
          <w:rPr>
            <w:rStyle w:val="Hyperlink"/>
          </w:rPr>
          <w:t>http://www.gpo.gov/fdsys/pkg/CHRG-112hhrg68185/html/CHRG-112hhrg68185.htm</w:t>
        </w:r>
        <w:bookmarkEnd w:id="81"/>
      </w:hyperlink>
    </w:p>
    <w:p w14:paraId="3E854D5A" w14:textId="33108910" w:rsidR="00151515" w:rsidRDefault="00151515" w:rsidP="00151515">
      <w:pPr>
        <w:pStyle w:val="Evidence"/>
      </w:pPr>
      <w:r w:rsidRPr="00540829">
        <w:rPr>
          <w:u w:val="single"/>
        </w:rPr>
        <w:t xml:space="preserve">In the Perkins &amp; Marie </w:t>
      </w:r>
      <w:proofErr w:type="spellStart"/>
      <w:r w:rsidRPr="00540829">
        <w:rPr>
          <w:u w:val="single"/>
        </w:rPr>
        <w:t>Callender's</w:t>
      </w:r>
      <w:proofErr w:type="spellEnd"/>
      <w:r w:rsidRPr="00540829">
        <w:rPr>
          <w:u w:val="single"/>
        </w:rPr>
        <w:t xml:space="preserve"> case, this is a company that is headquartered in Memphis</w:t>
      </w:r>
      <w:r w:rsidRPr="00151515">
        <w:t>, which is in Mr. Cohen's district</w:t>
      </w:r>
      <w:r w:rsidRPr="00540829">
        <w:rPr>
          <w:u w:val="single"/>
        </w:rPr>
        <w:t>. The bankruptcy was filed in Delaware</w:t>
      </w:r>
      <w:r w:rsidRPr="00151515">
        <w:t xml:space="preserve">. The commencement of the case--the debtor filed a motion to reject various real property leases back to the petition date and, in effect, eliminate any basis to claim administrative rent. </w:t>
      </w:r>
      <w:r w:rsidRPr="00540829">
        <w:rPr>
          <w:u w:val="single"/>
        </w:rPr>
        <w:t>The debtor was also allowed to leave its personal property at the premises. One of the landlords was a retiree who did not have the resources to resist the motion. The outcome of the motion probably cost the individual landlord retiree about $4,000 or $5,000</w:t>
      </w:r>
      <w:r w:rsidRPr="00151515">
        <w:t>.</w:t>
      </w:r>
    </w:p>
    <w:p w14:paraId="33C177A0" w14:textId="7D6C37A1" w:rsidR="006C52AC" w:rsidRDefault="006C52AC" w:rsidP="006C52AC">
      <w:pPr>
        <w:pStyle w:val="Contention2"/>
      </w:pPr>
      <w:bookmarkStart w:id="82" w:name="_Toc24201353"/>
      <w:r>
        <w:t>Remote venues hurt small creditors and workers because they can’t collect on their claims</w:t>
      </w:r>
      <w:bookmarkEnd w:id="82"/>
    </w:p>
    <w:p w14:paraId="20171376" w14:textId="63C5793F" w:rsidR="006C52AC" w:rsidRDefault="006C52AC" w:rsidP="006C52AC">
      <w:pPr>
        <w:pStyle w:val="Citation3"/>
      </w:pPr>
      <w:bookmarkStart w:id="83" w:name="_Toc24200198"/>
      <w:r w:rsidRPr="006C52AC">
        <w:rPr>
          <w:u w:val="single"/>
        </w:rPr>
        <w:t>Rep. John Conyers 2011</w:t>
      </w:r>
      <w:r>
        <w:t xml:space="preserve"> (D-Michigan) 8 Sept 2011 HEARING BEFORE THE  SUBCOMMITTEE ON COURTS, COMMERCIAL AND ADMINISTRATIVE LAW OF THE COMMITTEE ON THE JUDICIARY, HOUSE OF REPRESENTATIVES, ONE HUNDRED TWELFTH CONGRESS FIRST SESSION ON H.R. 2533 </w:t>
      </w:r>
      <w:hyperlink r:id="rId59" w:history="1">
        <w:r w:rsidRPr="007A20CA">
          <w:rPr>
            <w:rStyle w:val="Hyperlink"/>
          </w:rPr>
          <w:t>http://www.gpo.gov/fdsys/pkg/CHRG-112hhrg68185/html/CHRG-112hhrg68185.htm</w:t>
        </w:r>
        <w:bookmarkEnd w:id="83"/>
      </w:hyperlink>
    </w:p>
    <w:p w14:paraId="4B6100B2" w14:textId="33F80B4F" w:rsidR="006C52AC" w:rsidRDefault="006C52AC" w:rsidP="006C52AC">
      <w:pPr>
        <w:pStyle w:val="Evidence"/>
      </w:pPr>
      <w:r w:rsidRPr="006C52AC">
        <w:t xml:space="preserve">By choosing to file for Chapter 11 in a distant venue such as New York, a business--with its principal assets and most of its creditors and employees located in Michigan or California for example--makes it much more difficult for these creditors, particularly smaller creditors and workers, to participate in the case and defend their claims.     These creditors are forced to retain counsel in the distant venue and, if they want to physically appear, incur travel costs. In effect, they have to pay more to collect on their claims.    As a result, the ability of these small creditors and workers to influence the bankruptcy proceedings is greatly diminished. </w:t>
      </w:r>
    </w:p>
    <w:p w14:paraId="4DD694DD" w14:textId="679BB610" w:rsidR="0090318D" w:rsidRDefault="0090318D" w:rsidP="00C906DC">
      <w:pPr>
        <w:pStyle w:val="Contention2"/>
      </w:pPr>
      <w:bookmarkStart w:id="84" w:name="_Toc24201354"/>
      <w:r>
        <w:t>Small creditors are disenfranchised – they can’t go to some far-away state to collect debts in the bankruptcy process</w:t>
      </w:r>
      <w:bookmarkEnd w:id="84"/>
    </w:p>
    <w:p w14:paraId="2A57C854" w14:textId="77777777" w:rsidR="0090318D" w:rsidRDefault="0090318D" w:rsidP="0090318D">
      <w:pPr>
        <w:pStyle w:val="Citation3"/>
      </w:pPr>
      <w:bookmarkStart w:id="85" w:name="_Toc24200199"/>
      <w:r w:rsidRPr="008C66C1">
        <w:rPr>
          <w:u w:val="single"/>
        </w:rPr>
        <w:t>Venue Committee of the Bankruptcy Section of the Minnesota State Bar Association 2016</w:t>
      </w:r>
      <w:r>
        <w:t xml:space="preserve">.  “Report of the Venue Committee of the Bankruptcy Section of the Minnesota State Bar Association in Support of Venue Fairness” 21 Jan 2016 </w:t>
      </w:r>
      <w:hyperlink r:id="rId60" w:history="1">
        <w:r>
          <w:rPr>
            <w:rStyle w:val="Hyperlink"/>
          </w:rPr>
          <w:t>https://clla.org/wp-content/uploads/2018/PDFs/Sections/Bankruptcy/1._Report_of_Venue_Fairness-.pdf</w:t>
        </w:r>
        <w:bookmarkEnd w:id="85"/>
      </w:hyperlink>
    </w:p>
    <w:p w14:paraId="1171FF59" w14:textId="7144221B" w:rsidR="0090318D" w:rsidRDefault="0090318D">
      <w:pPr>
        <w:pStyle w:val="Evidence"/>
      </w:pPr>
      <w:r w:rsidRPr="00AD7F7E">
        <w:rPr>
          <w:noProof/>
          <w:lang w:eastAsia="en-US"/>
        </w:rPr>
        <w:drawing>
          <wp:inline distT="0" distB="0" distL="0" distR="0" wp14:anchorId="1E76CAAE" wp14:editId="2EA346AA">
            <wp:extent cx="5294671" cy="708067"/>
            <wp:effectExtent l="0" t="0" r="127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53636" cy="715952"/>
                    </a:xfrm>
                    <a:prstGeom prst="rect">
                      <a:avLst/>
                    </a:prstGeom>
                    <a:noFill/>
                    <a:ln>
                      <a:noFill/>
                    </a:ln>
                  </pic:spPr>
                </pic:pic>
              </a:graphicData>
            </a:graphic>
          </wp:inline>
        </w:drawing>
      </w:r>
    </w:p>
    <w:p w14:paraId="728E96E2" w14:textId="266AC22E" w:rsidR="00F9559E" w:rsidRDefault="00276437" w:rsidP="00276437">
      <w:pPr>
        <w:pStyle w:val="Contention2"/>
      </w:pPr>
      <w:bookmarkStart w:id="86" w:name="_Toc24201355"/>
      <w:r>
        <w:t>Remote venues hurt small creditors, employees and other stakeholders</w:t>
      </w:r>
      <w:bookmarkEnd w:id="86"/>
    </w:p>
    <w:p w14:paraId="07945341" w14:textId="01119E56" w:rsidR="00276437" w:rsidRDefault="00580BCD" w:rsidP="00276437">
      <w:pPr>
        <w:pStyle w:val="Citation3"/>
      </w:pPr>
      <w:bookmarkStart w:id="87" w:name="_Toc24200200"/>
      <w:r>
        <w:rPr>
          <w:u w:val="single"/>
        </w:rPr>
        <w:t>Rep. Steve Cohen</w:t>
      </w:r>
      <w:r w:rsidR="00D511A1">
        <w:rPr>
          <w:u w:val="single"/>
        </w:rPr>
        <w:t xml:space="preserve"> 2011</w:t>
      </w:r>
      <w:r>
        <w:rPr>
          <w:u w:val="single"/>
        </w:rPr>
        <w:t xml:space="preserve"> </w:t>
      </w:r>
      <w:r w:rsidRPr="00C906DC">
        <w:t>(D-Tenn.)</w:t>
      </w:r>
      <w:r w:rsidR="00276437">
        <w:t xml:space="preserve"> 8 Sept 2011 HEARING BEFORE THE  SUBCOMMITTEE ON COURTS, COMMERCIAL AND ADMINISTRATIVE LAW OF THE COMMITTEE ON THE JUDICIARY, HOUSE OF REPRESENTATIVES, ONE HUNDRED TWELFTH CONGRESS FIRST SESSION ON H.R. 2533 </w:t>
      </w:r>
      <w:hyperlink r:id="rId62" w:history="1">
        <w:r w:rsidR="00276437" w:rsidRPr="007A20CA">
          <w:rPr>
            <w:rStyle w:val="Hyperlink"/>
          </w:rPr>
          <w:t>http://www.gpo.gov/fdsys/pkg/CHRG-112hhrg68185/html/CHRG-112hhrg68185.htm</w:t>
        </w:r>
        <w:bookmarkEnd w:id="87"/>
      </w:hyperlink>
      <w:r w:rsidR="00276437">
        <w:t xml:space="preserve"> </w:t>
      </w:r>
    </w:p>
    <w:p w14:paraId="00CBD303" w14:textId="70D82AF4" w:rsidR="00276437" w:rsidRDefault="00276437" w:rsidP="00276437">
      <w:pPr>
        <w:pStyle w:val="Evidence"/>
      </w:pPr>
      <w:r w:rsidRPr="00276437">
        <w:t>Such a result threatens to undermine the purpose of having venue rules in the first place, which is to ensure that legal right rules and rights be adjudicated in the places most convenient and fair for all the parties in a case. I think a convenient forum is one of the first things you learn about in law school and the need for that. In a Chapter 11 bankruptcy context, filing a case in a venue where a debtor has no substantial ties harms small creditors, employees, and other affected stakeholders who lack the resources of larger creditors and corporate debtors to assert or protect their interest in these distant forums.</w:t>
      </w:r>
    </w:p>
    <w:p w14:paraId="59450980" w14:textId="392D0D6D" w:rsidR="002C6956" w:rsidRDefault="002C6956" w:rsidP="00C906DC">
      <w:pPr>
        <w:pStyle w:val="Contention2"/>
      </w:pPr>
      <w:bookmarkStart w:id="88" w:name="_Toc24201356"/>
      <w:r>
        <w:lastRenderedPageBreak/>
        <w:t>Remote bankruptcy filing is unjust</w:t>
      </w:r>
      <w:bookmarkEnd w:id="88"/>
    </w:p>
    <w:p w14:paraId="48509942" w14:textId="137B6F37" w:rsidR="002C6956" w:rsidRPr="000D7CFA" w:rsidRDefault="002C6956" w:rsidP="002C6956">
      <w:pPr>
        <w:pStyle w:val="Citation3"/>
      </w:pPr>
      <w:bookmarkStart w:id="89" w:name="_Toc24200201"/>
      <w:r w:rsidRPr="000D7CFA">
        <w:rPr>
          <w:u w:val="single"/>
        </w:rPr>
        <w:t>Judge Steven Rhodes 2013</w:t>
      </w:r>
      <w:r w:rsidRPr="000D7CFA">
        <w:t xml:space="preserve">. (US Bankruptcy Judge, Eastern District of Michigan) 22 Nov 2013 statement to the ABI Commission to Study the Reform of Chapter 11 on Chapter 11 Venue  </w:t>
      </w:r>
      <w:hyperlink r:id="rId63" w:history="1">
        <w:r w:rsidRPr="00D9100E">
          <w:rPr>
            <w:rStyle w:val="Hyperlink"/>
          </w:rPr>
          <w:t>http://commission.abi.org/sites/default/files/statements/22nov2013/Rhodes-ABI-Commission.docx</w:t>
        </w:r>
        <w:bookmarkEnd w:id="89"/>
      </w:hyperlink>
      <w:r>
        <w:t xml:space="preserve"> </w:t>
      </w:r>
      <w:r w:rsidRPr="000D7CFA">
        <w:t xml:space="preserve"> </w:t>
      </w:r>
      <w:r>
        <w:t xml:space="preserve"> </w:t>
      </w:r>
    </w:p>
    <w:p w14:paraId="57145849" w14:textId="01665A0A" w:rsidR="002C6956" w:rsidRPr="00C906DC" w:rsidRDefault="002C6956" w:rsidP="002C6956">
      <w:pPr>
        <w:pStyle w:val="Evidence"/>
        <w:rPr>
          <w:b/>
        </w:rPr>
      </w:pPr>
      <w:r w:rsidRPr="002B4058">
        <w:t xml:space="preserve">Often, law-shopping motivates venue-shopping.  </w:t>
      </w:r>
      <w:r w:rsidRPr="00C906DC">
        <w:t>To facilitate venue-shopping, law firms representing debtors often maintain elaborate charts detailing what courts have ruled on what issues that their clients are concerned about. This is unjust.  A legal system in which there are in the normal course conflicts in judicial decisions ought not allow one party in litigation to choose which of those courts has more favorable decisions and then go there to file its case.</w:t>
      </w:r>
      <w:r w:rsidRPr="002B4058">
        <w:t xml:space="preserve">  </w:t>
      </w:r>
      <w:r w:rsidRPr="00C906DC">
        <w:t>There is no sound reason why, for example, a debtor headquartered in New York, should be permitted to have its right to reject a collective bargaining agreement with its union in New York subject to Ninth Circuit case law just because it is incorporated in Alaska</w:t>
      </w:r>
      <w:r w:rsidRPr="002B4058">
        <w:t xml:space="preserve"> or has a subsidiary in Idaho.  Such was surely not within the reasonable expectation of the parties to the agreement when they executed it.  </w:t>
      </w:r>
    </w:p>
    <w:p w14:paraId="5C13CC0A" w14:textId="47417430" w:rsidR="00E74B49" w:rsidRDefault="00E74B49" w:rsidP="00C906DC">
      <w:pPr>
        <w:pStyle w:val="Contention2"/>
      </w:pPr>
      <w:bookmarkStart w:id="90" w:name="_Toc24201357"/>
      <w:r>
        <w:t>Communities suffer:  Bankruptcy should be handled locally</w:t>
      </w:r>
      <w:bookmarkEnd w:id="90"/>
    </w:p>
    <w:p w14:paraId="30DF88FC" w14:textId="77777777" w:rsidR="00E74B49" w:rsidRDefault="00E74B49" w:rsidP="00E74B49">
      <w:pPr>
        <w:pStyle w:val="Citation3"/>
      </w:pPr>
      <w:bookmarkStart w:id="91" w:name="_Toc24200202"/>
      <w:r w:rsidRPr="008C66C1">
        <w:rPr>
          <w:u w:val="single"/>
        </w:rPr>
        <w:t>Venue Committee of the Bankruptcy Section of the Minnesota State Bar Association 2016</w:t>
      </w:r>
      <w:r>
        <w:t xml:space="preserve">.  “Report of the Venue Committee of the Bankruptcy Section of the Minnesota State Bar Association in Support of Venue Fairness” 21 Jan 2016 </w:t>
      </w:r>
      <w:hyperlink r:id="rId64" w:history="1">
        <w:r>
          <w:rPr>
            <w:rStyle w:val="Hyperlink"/>
          </w:rPr>
          <w:t>https://clla.org/wp-content/uploads/2018/PDFs/Sections/Bankruptcy/1._Report_of_Venue_Fairness-.pdf</w:t>
        </w:r>
        <w:bookmarkEnd w:id="91"/>
      </w:hyperlink>
    </w:p>
    <w:p w14:paraId="29B08CD7" w14:textId="00F119D0" w:rsidR="00E74B49" w:rsidRDefault="00E74B49">
      <w:pPr>
        <w:pStyle w:val="Evidence"/>
      </w:pPr>
      <w:r>
        <w:rPr>
          <w:noProof/>
          <w:lang w:eastAsia="en-US"/>
        </w:rPr>
        <w:drawing>
          <wp:inline distT="0" distB="0" distL="0" distR="0" wp14:anchorId="2D488977" wp14:editId="393B2832">
            <wp:extent cx="4748980" cy="175308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766856" cy="1759679"/>
                    </a:xfrm>
                    <a:prstGeom prst="rect">
                      <a:avLst/>
                    </a:prstGeom>
                    <a:noFill/>
                    <a:ln>
                      <a:noFill/>
                    </a:ln>
                  </pic:spPr>
                </pic:pic>
              </a:graphicData>
            </a:graphic>
          </wp:inline>
        </w:drawing>
      </w:r>
    </w:p>
    <w:p w14:paraId="251C49D2" w14:textId="18A52B5E" w:rsidR="00580BCD" w:rsidRDefault="00675C2E" w:rsidP="00580BCD">
      <w:pPr>
        <w:pStyle w:val="Contention2"/>
      </w:pPr>
      <w:bookmarkStart w:id="92" w:name="_Toc24201358"/>
      <w:proofErr w:type="spellStart"/>
      <w:r>
        <w:t>Skeel</w:t>
      </w:r>
      <w:proofErr w:type="spellEnd"/>
      <w:r>
        <w:t xml:space="preserve"> is wrong:  </w:t>
      </w:r>
      <w:r w:rsidR="00580BCD">
        <w:t xml:space="preserve">Impacts on small businesses and affected individuals alone justify </w:t>
      </w:r>
      <w:r w:rsidR="004916B2">
        <w:t>local venues for bankruptcy cases</w:t>
      </w:r>
      <w:bookmarkEnd w:id="92"/>
    </w:p>
    <w:p w14:paraId="7CFB7B9B" w14:textId="56C1E577" w:rsidR="004916B2" w:rsidRDefault="004916B2" w:rsidP="004916B2">
      <w:pPr>
        <w:pStyle w:val="Citation3"/>
      </w:pPr>
      <w:bookmarkStart w:id="93" w:name="_Toc24200203"/>
      <w:r w:rsidRPr="00675C2E">
        <w:rPr>
          <w:u w:val="single"/>
        </w:rPr>
        <w:t>Honorable Frank J. Bailey 2011</w:t>
      </w:r>
      <w:r>
        <w:t xml:space="preserve"> (Chief Judge, Bankruptcy Court for the District of Massachusetts) 8 Sept 2011 HEARING BEFORE THE  SUBCOMMITTEE ON COURTS, COMMERCIAL AND ADMINISTRATIVE LAW OF THE COMMITTEE ON THE JUDICIARY, HOUSE OF REPRESENTATIVES, ONE HUNDRED TWELFTH CONGRESS FIRST SESSION ON H.R. 2533 </w:t>
      </w:r>
      <w:hyperlink r:id="rId66" w:history="1">
        <w:r w:rsidRPr="007A20CA">
          <w:rPr>
            <w:rStyle w:val="Hyperlink"/>
          </w:rPr>
          <w:t>http://www.gpo.gov/fdsys/pkg/CHRG-112hhrg68185/html/CHRG-112hhrg68185.htm</w:t>
        </w:r>
        <w:bookmarkEnd w:id="93"/>
      </w:hyperlink>
      <w:r>
        <w:t xml:space="preserve"> </w:t>
      </w:r>
    </w:p>
    <w:p w14:paraId="476F92BF" w14:textId="64943759" w:rsidR="00580BCD" w:rsidRDefault="00580BCD" w:rsidP="00580BCD">
      <w:pPr>
        <w:pStyle w:val="Evidence"/>
      </w:pPr>
      <w:r w:rsidRPr="00580BCD">
        <w:t xml:space="preserve">Those opposed to the amendments ask why does all of this matter. Sort of so what. The bankruptcy system is working well, Professor </w:t>
      </w:r>
      <w:proofErr w:type="spellStart"/>
      <w:r w:rsidRPr="00580BCD">
        <w:t>Skeel</w:t>
      </w:r>
      <w:proofErr w:type="spellEnd"/>
      <w:r w:rsidRPr="00580BCD">
        <w:t xml:space="preserve"> tells us. Well, as a judge that sits on consumer cases as well as business cases, both large and small, I can tell you that it matters a great deal. In both consumer cases and in business cases, I regularly have employees, small vendor creditors, retirees, former employees who attend hearings in my courtroom. They can generally take public transportation to my courtroom, and I give them the chance to say their piece. And I frequently have to deliver bad news to them, sometimes life-changing bad news to them. And I have found that they can accept that bad news. They are not happy about it, but they can accept that bad news if they understand from whence it is being delivered by a local judge in a Federal system that has placed that local judge in the Boston courthouse where I sit. They may not be happy, but ultimately I believe they are satisfied with the system that Congress has created for them when they have that opportunity.</w:t>
      </w:r>
    </w:p>
    <w:p w14:paraId="4562776E" w14:textId="77777777" w:rsidR="006C52AC" w:rsidRDefault="006C52AC" w:rsidP="006C52AC">
      <w:pPr>
        <w:pStyle w:val="Contention2"/>
      </w:pPr>
      <w:bookmarkStart w:id="94" w:name="_Toc24201359"/>
      <w:r>
        <w:lastRenderedPageBreak/>
        <w:t>Venue shopping helps promote mismanagement</w:t>
      </w:r>
      <w:bookmarkEnd w:id="94"/>
    </w:p>
    <w:p w14:paraId="6D8C87F5" w14:textId="77777777" w:rsidR="006C52AC" w:rsidRDefault="006C52AC" w:rsidP="006C52AC">
      <w:pPr>
        <w:pStyle w:val="Citation3"/>
      </w:pPr>
      <w:bookmarkStart w:id="95" w:name="_Toc24200204"/>
      <w:r w:rsidRPr="006C52AC">
        <w:rPr>
          <w:u w:val="single"/>
        </w:rPr>
        <w:t>Rep. John Conyers 2011</w:t>
      </w:r>
      <w:r>
        <w:t xml:space="preserve"> (D-Michigan) 8 Sept 2011 HEARING BEFORE THE  SUBCOMMITTEE ON COURTS, COMMERCIAL AND ADMINISTRATIVE LAW OF THE COMMITTEE ON THE JUDICIARY, HOUSE OF REPRESENTATIVES, ONE HUNDRED TWELFTH CONGRESS FIRST SESSION ON H.R. 2533 </w:t>
      </w:r>
      <w:hyperlink r:id="rId67" w:history="1">
        <w:r w:rsidRPr="007A20CA">
          <w:rPr>
            <w:rStyle w:val="Hyperlink"/>
          </w:rPr>
          <w:t>http://www.gpo.gov/fdsys/pkg/CHRG-112hhrg68185/html/CHRG-112hhrg68185.htm</w:t>
        </w:r>
        <w:bookmarkEnd w:id="95"/>
      </w:hyperlink>
    </w:p>
    <w:p w14:paraId="4348A968" w14:textId="77777777" w:rsidR="006C52AC" w:rsidRPr="006C52AC" w:rsidRDefault="006C52AC" w:rsidP="006C52AC">
      <w:pPr>
        <w:pStyle w:val="Evidence"/>
      </w:pPr>
      <w:r w:rsidRPr="006C52AC">
        <w:t>This effectively permits management of a company--which is most likely to blame for the company's financial distress--to pick and choose the venue with the case law most friendly to management through this affiliate venue filing option.    Particularly in cases where collective bargaining agreements may need to be rejected under the Bankruptcy Code, a jurisdiction espousing a pro-management, anti-union perspective would likely be very attractive to a company's management.</w:t>
      </w:r>
    </w:p>
    <w:p w14:paraId="2F509A72" w14:textId="7B390980" w:rsidR="00B101DA" w:rsidRDefault="00C7441E" w:rsidP="00B101DA">
      <w:pPr>
        <w:pStyle w:val="Contention2"/>
      </w:pPr>
      <w:bookmarkStart w:id="96" w:name="_Toc24201360"/>
      <w:r>
        <w:t xml:space="preserve">A/T </w:t>
      </w:r>
      <w:r w:rsidR="00B101DA">
        <w:t xml:space="preserve">“Bankruptcy is different from other types of cases” –  </w:t>
      </w:r>
      <w:r w:rsidR="002F1C38">
        <w:t>Other cases have the same issues, and it doesn’t</w:t>
      </w:r>
      <w:r w:rsidR="00B101DA">
        <w:t xml:space="preserve"> justify </w:t>
      </w:r>
      <w:r w:rsidR="002F1C38">
        <w:t>remote venues</w:t>
      </w:r>
      <w:bookmarkEnd w:id="96"/>
    </w:p>
    <w:p w14:paraId="2C3C7FC6" w14:textId="13334AA4" w:rsidR="002F1C38" w:rsidRDefault="002F1C38" w:rsidP="002F1C38">
      <w:pPr>
        <w:pStyle w:val="Citation3"/>
      </w:pPr>
      <w:bookmarkStart w:id="97" w:name="_Toc24200205"/>
      <w:r w:rsidRPr="002F1C38">
        <w:rPr>
          <w:u w:val="single"/>
        </w:rPr>
        <w:t>Prof. Melissa Jacoby 2011</w:t>
      </w:r>
      <w:r>
        <w:t xml:space="preserve"> (professor law, Univ. of N. Carolina Law School) 8 Sept 2011 HEARING BEFORE THE  SUBCOMMITTEE ON COURTS, COMMERCIAL AND ADMINISTRATIVE LAW OF THE COMMITTEE ON THE JUDICIARY, HOUSE OF REPRESENTATIVES, ONE HUNDRED TWELFTH CONGRESS FIRST SESSION ON H.R. 2533 </w:t>
      </w:r>
      <w:hyperlink r:id="rId68" w:history="1">
        <w:r w:rsidR="00CB575D" w:rsidRPr="00D9100E">
          <w:rPr>
            <w:rStyle w:val="Hyperlink"/>
          </w:rPr>
          <w:t>http://www.gpo.gov/fdsys/pkg/CHRG-112hhrg68185/html/CHRG-112hhrg68185.htm</w:t>
        </w:r>
        <w:bookmarkEnd w:id="97"/>
      </w:hyperlink>
      <w:r w:rsidR="00CB575D">
        <w:t xml:space="preserve"> </w:t>
      </w:r>
    </w:p>
    <w:p w14:paraId="6AE4CE44" w14:textId="382A5016" w:rsidR="002F1C38" w:rsidRDefault="002F1C38" w:rsidP="002F1C38">
      <w:pPr>
        <w:pStyle w:val="Evidence"/>
      </w:pPr>
      <w:r w:rsidRPr="002F1C38">
        <w:t>The second point is that the justifications often heard are just not persuasive. Some justify the departure by saying bankruptcy is exceptional. It is different. It involves more parties. It is more complicated. But there are other Federal actions that raise exactly those same concerns. So there is the Judicial Panel on Multi-District Litigation that assigns consolidated cases to certain districts. They don't consider place of incorporation of the corporate defendant. They might consider the headquarters. They consider a variety of other factors, including expertise. But place of incorporation is not among them.</w:t>
      </w:r>
    </w:p>
    <w:p w14:paraId="4A4F3B87" w14:textId="78C48B18" w:rsidR="00C7441E" w:rsidRDefault="00C7441E" w:rsidP="00C906DC">
      <w:pPr>
        <w:pStyle w:val="Contention2"/>
      </w:pPr>
      <w:bookmarkStart w:id="98" w:name="_Toc24201361"/>
      <w:r>
        <w:t>A/T “Bankruptcy venue should be like lawsuit venue” – No, bankruptcy is different</w:t>
      </w:r>
      <w:bookmarkEnd w:id="98"/>
    </w:p>
    <w:p w14:paraId="0C0411EC" w14:textId="77777777" w:rsidR="00C7441E" w:rsidRDefault="00C7441E" w:rsidP="00C7441E">
      <w:pPr>
        <w:pStyle w:val="Citation3"/>
      </w:pPr>
      <w:bookmarkStart w:id="99" w:name="_Toc24200206"/>
      <w:r w:rsidRPr="008C66C1">
        <w:rPr>
          <w:u w:val="single"/>
        </w:rPr>
        <w:t>Venue Committee of the Bankruptcy Section of the Minnesota State Bar Association 2016</w:t>
      </w:r>
      <w:r>
        <w:t xml:space="preserve">.  “Report of the Venue Committee of the Bankruptcy Section of the Minnesota State Bar Association in Support of Venue Fairness” 21 Jan 2016 </w:t>
      </w:r>
      <w:hyperlink r:id="rId69" w:history="1">
        <w:r>
          <w:rPr>
            <w:rStyle w:val="Hyperlink"/>
          </w:rPr>
          <w:t>https://clla.org/wp-content/uploads/2018/PDFs/Sections/Bankruptcy/1._Report_of_Venue_Fairness-.pdf</w:t>
        </w:r>
        <w:bookmarkEnd w:id="99"/>
      </w:hyperlink>
    </w:p>
    <w:p w14:paraId="46BC55F9" w14:textId="485C5727" w:rsidR="00C7441E" w:rsidRPr="002F1C38" w:rsidRDefault="00C7441E">
      <w:pPr>
        <w:pStyle w:val="Evidence"/>
      </w:pPr>
      <w:r>
        <w:rPr>
          <w:noProof/>
          <w:lang w:eastAsia="en-US"/>
        </w:rPr>
        <w:drawing>
          <wp:inline distT="0" distB="0" distL="0" distR="0" wp14:anchorId="10042209" wp14:editId="09100C27">
            <wp:extent cx="4807974" cy="154853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838882" cy="1558486"/>
                    </a:xfrm>
                    <a:prstGeom prst="rect">
                      <a:avLst/>
                    </a:prstGeom>
                    <a:noFill/>
                    <a:ln>
                      <a:noFill/>
                    </a:ln>
                  </pic:spPr>
                </pic:pic>
              </a:graphicData>
            </a:graphic>
          </wp:inline>
        </w:drawing>
      </w:r>
    </w:p>
    <w:p w14:paraId="344554CC" w14:textId="285E027D" w:rsidR="002F1C38" w:rsidRDefault="00C7441E" w:rsidP="00B101DA">
      <w:pPr>
        <w:pStyle w:val="Contention2"/>
      </w:pPr>
      <w:bookmarkStart w:id="100" w:name="_Toc24201362"/>
      <w:r>
        <w:lastRenderedPageBreak/>
        <w:t xml:space="preserve">A/T </w:t>
      </w:r>
      <w:r w:rsidR="002F1C38">
        <w:t xml:space="preserve">“Importance of Delaware state law on companies incorporated there” – Doesn’t justify moving </w:t>
      </w:r>
      <w:r w:rsidR="00766BAD">
        <w:t xml:space="preserve">cases </w:t>
      </w:r>
      <w:r w:rsidR="002F1C38">
        <w:t>to Delaware</w:t>
      </w:r>
      <w:bookmarkEnd w:id="100"/>
    </w:p>
    <w:p w14:paraId="7C1AAA40" w14:textId="5E8EFCFC" w:rsidR="002F1C38" w:rsidRDefault="002F1C38" w:rsidP="002F1C38">
      <w:pPr>
        <w:pStyle w:val="Citation3"/>
      </w:pPr>
      <w:bookmarkStart w:id="101" w:name="_Toc24200207"/>
      <w:r w:rsidRPr="002F1C38">
        <w:rPr>
          <w:u w:val="single"/>
        </w:rPr>
        <w:t>Prof. Melissa Jacoby 2011</w:t>
      </w:r>
      <w:r>
        <w:t xml:space="preserve"> (professor law, Univ. of N. Carolina Law School) 8 Sept 2011 HEARING BEFORE THE  SUBCOMMITTEE ON COURTS, COMMERCIAL AND ADMINISTRATIVE LAW OF THE COMMITTEE ON THE JUDICIARY, HOUSE OF REPRESENTATIVES, ONE HUNDRED TWELFTH CONGRESS FIRST SESSION ON H.R. 2533 </w:t>
      </w:r>
      <w:hyperlink r:id="rId71" w:history="1">
        <w:r w:rsidR="00CB575D" w:rsidRPr="00D9100E">
          <w:rPr>
            <w:rStyle w:val="Hyperlink"/>
          </w:rPr>
          <w:t>http://www.gpo.gov/fdsys/pkg/CHRG-112hhrg68185/html/CHRG-112hhrg68185.htm</w:t>
        </w:r>
        <w:bookmarkEnd w:id="101"/>
      </w:hyperlink>
      <w:r w:rsidR="00CB575D">
        <w:t xml:space="preserve"> </w:t>
      </w:r>
    </w:p>
    <w:p w14:paraId="12B8E287" w14:textId="3BD9F28E" w:rsidR="002F1C38" w:rsidRPr="002F1C38" w:rsidRDefault="002F1C38" w:rsidP="002F1C38">
      <w:pPr>
        <w:pStyle w:val="Evidence"/>
      </w:pPr>
      <w:r w:rsidRPr="002F1C38">
        <w:t xml:space="preserve">Some justify the current rules based on place of incorporation having a strong tie to bankruptcy and the relationship between corporate law and bankruptcy law. And I agree that bankruptcy courts need to respect State law, including State corporate law, but I am not sure that ties Delaware any more to these cases than the employment law, the tax law, the environmental laws of other jurisdictions. And outside of bankruptcy, when corporations get sued in Delaware, it is not unheard of for them to complain that it is inconvenient, that all of their resources are somewhere else, that their management is across the country. </w:t>
      </w:r>
    </w:p>
    <w:p w14:paraId="1A6EE3A2" w14:textId="14BCC73C" w:rsidR="00646838" w:rsidRDefault="00646838" w:rsidP="0075587A">
      <w:pPr>
        <w:pStyle w:val="Contention1"/>
      </w:pPr>
      <w:bookmarkStart w:id="102" w:name="_Toc24201363"/>
      <w:r>
        <w:t>SOLVENCY</w:t>
      </w:r>
      <w:r w:rsidR="00306B79">
        <w:t xml:space="preserve"> / ADVOCACY</w:t>
      </w:r>
      <w:bookmarkEnd w:id="102"/>
    </w:p>
    <w:p w14:paraId="16360730" w14:textId="77777777" w:rsidR="00935711" w:rsidRPr="00CB575D" w:rsidRDefault="00935711" w:rsidP="00CB575D">
      <w:pPr>
        <w:pStyle w:val="Contention2"/>
      </w:pPr>
      <w:bookmarkStart w:id="103" w:name="_Toc24201364"/>
      <w:r w:rsidRPr="00CB575D">
        <w:t>Principal place of business should be the venue for bankruptcy law</w:t>
      </w:r>
      <w:bookmarkEnd w:id="103"/>
    </w:p>
    <w:p w14:paraId="31BE6B1E" w14:textId="7B1E40D5" w:rsidR="00935711" w:rsidRPr="00CB575D" w:rsidRDefault="00935711" w:rsidP="00CB575D">
      <w:pPr>
        <w:pStyle w:val="Citation3"/>
      </w:pPr>
      <w:bookmarkStart w:id="104" w:name="_Toc24200208"/>
      <w:r w:rsidRPr="00CB575D">
        <w:rPr>
          <w:u w:val="single"/>
        </w:rPr>
        <w:t>Judge Steven Rhodes 2013</w:t>
      </w:r>
      <w:r w:rsidRPr="00CB575D">
        <w:t xml:space="preserve">. (US Bankruptcy Judge, Eastern District of Michigan) 22 Nov 2013 statement to the ABI Commission to Study the Reform of Chapter 11 on Chapter 11 Venue </w:t>
      </w:r>
      <w:hyperlink r:id="rId72" w:history="1">
        <w:r w:rsidR="00CB575D" w:rsidRPr="00D9100E">
          <w:rPr>
            <w:rStyle w:val="Hyperlink"/>
          </w:rPr>
          <w:t>http://commission.abi.org/sites/default/files/statements/22nov2013/Rhodes-ABI-Commission.docx</w:t>
        </w:r>
        <w:bookmarkEnd w:id="104"/>
      </w:hyperlink>
      <w:r w:rsidR="00CB575D">
        <w:t xml:space="preserve"> </w:t>
      </w:r>
    </w:p>
    <w:p w14:paraId="71203DF4" w14:textId="25B5D9C0" w:rsidR="00935711" w:rsidRDefault="00935711" w:rsidP="00CB575D">
      <w:pPr>
        <w:pStyle w:val="Evidence"/>
      </w:pPr>
      <w:r w:rsidRPr="00CB575D">
        <w:t>Similarly, creditors (and the public) can reasonably expect that a debtor should be required to file its reorganization proceeding in the district of its principal place of business - its nerve center, where the debtor’s officers “direct, control, and coordinate the corporation’s activities.”  Only with that restriction can the historical purpose of venue restrictions be fulfilled.</w:t>
      </w:r>
    </w:p>
    <w:p w14:paraId="793CC024" w14:textId="571B0700" w:rsidR="00151515" w:rsidRDefault="007454E8" w:rsidP="00151515">
      <w:pPr>
        <w:pStyle w:val="Contention2"/>
      </w:pPr>
      <w:bookmarkStart w:id="105" w:name="_Toc24201365"/>
      <w:r>
        <w:t xml:space="preserve">Local adjudication of bankruptcy </w:t>
      </w:r>
      <w:r w:rsidR="00151515">
        <w:t xml:space="preserve">is better </w:t>
      </w:r>
      <w:r>
        <w:t xml:space="preserve">than venue shopping </w:t>
      </w:r>
      <w:r w:rsidR="00151515">
        <w:t>because a local venue can manage the community impacts better than a remote court</w:t>
      </w:r>
      <w:bookmarkEnd w:id="105"/>
      <w:r w:rsidR="00151515">
        <w:t xml:space="preserve"> </w:t>
      </w:r>
    </w:p>
    <w:p w14:paraId="7349E6B7" w14:textId="68E6CC69" w:rsidR="00151515" w:rsidRDefault="00151515" w:rsidP="00151515">
      <w:pPr>
        <w:pStyle w:val="Citation3"/>
      </w:pPr>
      <w:bookmarkStart w:id="106" w:name="_Toc24200209"/>
      <w:r w:rsidRPr="00151515">
        <w:rPr>
          <w:u w:val="single"/>
        </w:rPr>
        <w:t xml:space="preserve">Peter </w:t>
      </w:r>
      <w:proofErr w:type="spellStart"/>
      <w:r w:rsidRPr="00151515">
        <w:rPr>
          <w:u w:val="single"/>
        </w:rPr>
        <w:t>Califano</w:t>
      </w:r>
      <w:proofErr w:type="spellEnd"/>
      <w:r w:rsidRPr="00151515">
        <w:rPr>
          <w:u w:val="single"/>
        </w:rPr>
        <w:t xml:space="preserve"> 2011</w:t>
      </w:r>
      <w:r>
        <w:t xml:space="preserve"> (</w:t>
      </w:r>
      <w:r w:rsidRPr="00151515">
        <w:t>bankruptcy attorney at Cooper White &amp; Cooper in San Francisco where he chairs the bankruptcy and creditors' rights groups</w:t>
      </w:r>
      <w:r>
        <w:t xml:space="preserve">) 8 Sept 2011 HEARING BEFORE THE  SUBCOMMITTEE ON COURTS, COMMERCIAL AND ADMINISTRATIVE LAW OF THE COMMITTEE ON THE JUDICIARY, HOUSE OF REPRESENTATIVES, ONE HUNDRED TWELFTH CONGRESS FIRST SESSION ON H.R. 2533 </w:t>
      </w:r>
      <w:hyperlink r:id="rId73" w:history="1">
        <w:r w:rsidRPr="007A20CA">
          <w:rPr>
            <w:rStyle w:val="Hyperlink"/>
          </w:rPr>
          <w:t>http://www.gpo.gov/fdsys/pkg/CHRG-112hhrg68185/html/CHRG-112hhrg68185.htm</w:t>
        </w:r>
      </w:hyperlink>
      <w:r>
        <w:t xml:space="preserve"> (brackets added)</w:t>
      </w:r>
      <w:bookmarkEnd w:id="106"/>
    </w:p>
    <w:p w14:paraId="415795F6" w14:textId="48CDBB5F" w:rsidR="00151515" w:rsidRDefault="00151515" w:rsidP="00151515">
      <w:pPr>
        <w:pStyle w:val="Evidence"/>
      </w:pPr>
      <w:r w:rsidRPr="00FF0790">
        <w:rPr>
          <w:u w:val="single"/>
        </w:rPr>
        <w:t>The CLLA [Commercial Law League of America] strongly believes that when these businesses fail and need rehabilitation in bankruptcy, the local bankruptcy courts are the best positioned to oversee the process.</w:t>
      </w:r>
      <w:r w:rsidRPr="00151515">
        <w:t xml:space="preserve"> Let me explain why.     </w:t>
      </w:r>
      <w:r w:rsidRPr="00C906DC">
        <w:rPr>
          <w:u w:val="single"/>
        </w:rPr>
        <w:t>First, the consequences of corporate bankruptcy are most profound in the communities where the debtor's principal place of business or assets are located. Not only are jobs involved, but they may affect other matters such as hospitals, the closing of plants, and waste removal.    Second, if bankruptcies are filed in remote districts, the parties with the most familiarity with the debtor's operations and who have an important stake in the case's outcome might be cut off or minimized in the process. Employees, small creditors, and retirees will suffer</w:t>
      </w:r>
      <w:r w:rsidRPr="00151515">
        <w:t>.</w:t>
      </w:r>
    </w:p>
    <w:p w14:paraId="221493B9" w14:textId="13B7CBBE" w:rsidR="00751391" w:rsidRDefault="00751391" w:rsidP="00751391">
      <w:pPr>
        <w:pStyle w:val="Contention2"/>
      </w:pPr>
      <w:bookmarkStart w:id="107" w:name="_Toc24201366"/>
      <w:r>
        <w:lastRenderedPageBreak/>
        <w:t>Fairness to creditors requires end to bankruptcy venue shopping, and requirement to file at the principal place of business</w:t>
      </w:r>
      <w:bookmarkEnd w:id="107"/>
    </w:p>
    <w:p w14:paraId="3F3CCD35" w14:textId="1BF40556" w:rsidR="00751391" w:rsidRDefault="00751391" w:rsidP="00751391">
      <w:pPr>
        <w:pStyle w:val="Citation3"/>
      </w:pPr>
      <w:bookmarkStart w:id="108" w:name="_Toc24200210"/>
      <w:r w:rsidRPr="00751391">
        <w:rPr>
          <w:u w:val="single"/>
        </w:rPr>
        <w:t>Judge Stephen Rhodes 2015</w:t>
      </w:r>
      <w:r w:rsidRPr="00751391">
        <w:t xml:space="preserve"> (</w:t>
      </w:r>
      <w:r>
        <w:t xml:space="preserve">30 </w:t>
      </w:r>
      <w:proofErr w:type="spellStart"/>
      <w:r>
        <w:t>years experience</w:t>
      </w:r>
      <w:proofErr w:type="spellEnd"/>
      <w:r>
        <w:t xml:space="preserve"> as a bankruptcy judge</w:t>
      </w:r>
      <w:r w:rsidRPr="00751391">
        <w:t xml:space="preserve">) WALL STREET JOURNAL 9 Feb 2015 “The Baffling Rejection of Venue Reform by the ABI Chapter 11 Reform Commission” </w:t>
      </w:r>
      <w:r>
        <w:t xml:space="preserve"> </w:t>
      </w:r>
      <w:hyperlink r:id="rId74" w:history="1">
        <w:r w:rsidRPr="00BC5850">
          <w:rPr>
            <w:rStyle w:val="Hyperlink"/>
          </w:rPr>
          <w:t>http://blogs.wsj.com/bankruptcy/2015/02/09/the-baffling-rejection-of-venue-reform-by-the-abi-chapter-11-reform-commission/</w:t>
        </w:r>
      </w:hyperlink>
      <w:r w:rsidR="00D511A1">
        <w:rPr>
          <w:rStyle w:val="Hyperlink"/>
        </w:rPr>
        <w:t xml:space="preserve"> (ellipses in original)</w:t>
      </w:r>
      <w:bookmarkEnd w:id="108"/>
    </w:p>
    <w:p w14:paraId="2F52A167" w14:textId="40EB687E" w:rsidR="00751391" w:rsidRPr="00751391" w:rsidRDefault="00751391" w:rsidP="00751391">
      <w:pPr>
        <w:pStyle w:val="Evidence"/>
      </w:pPr>
      <w:r w:rsidRPr="00751391">
        <w:rPr>
          <w:u w:val="single"/>
        </w:rPr>
        <w:t>Likewise, the purpose of restricting venue in bankruptcy ought to be to protect creditors against the debtor’s “unfair or inconvenient” venue choice. Why else have any venue laws?</w:t>
      </w:r>
      <w:r w:rsidRPr="00751391">
        <w:t xml:space="preserve"> In large cases, the current law, however, does not accomplish that purpose, or really any purpose.</w:t>
      </w:r>
      <w:r>
        <w:t xml:space="preserve"> </w:t>
      </w:r>
      <w:r w:rsidRPr="00751391">
        <w:t xml:space="preserve">On the other hand, requiring a debtor to file where its principal place of business is located, although perhaps imperfect, is more likely to fulfill this purpose. The Supreme Court, in </w:t>
      </w:r>
      <w:r w:rsidRPr="00751391">
        <w:rPr>
          <w:i/>
          <w:iCs/>
        </w:rPr>
        <w:t>Hertz Corp. v. Friend (2010)</w:t>
      </w:r>
      <w:r w:rsidRPr="00751391">
        <w:t>, defined a corporation’s principal place of business as “the place where a corporation’s officers direct, control, and coordinate the corporation’s activities…the corporation’s ‘nerve center’…the place where the corporation maintains its headquarters.” Significantly, the Supreme Court also observed, “The public often (though not always) considers it the corporation’s main place of business.”</w:t>
      </w:r>
      <w:r>
        <w:t xml:space="preserve"> </w:t>
      </w:r>
      <w:r w:rsidRPr="00751391">
        <w:rPr>
          <w:u w:val="single"/>
        </w:rPr>
        <w:t>Creditors and the public can reasonably expect that a debtor should be required to file its reorganization proceeding in the district of its principal place of business. Only with that restriction can the historical purpose of venue restrictions be fulfilled</w:t>
      </w:r>
      <w:r w:rsidRPr="00751391">
        <w:t>.</w:t>
      </w:r>
    </w:p>
    <w:p w14:paraId="34CA1A79" w14:textId="04F8D6D1" w:rsidR="00540829" w:rsidRDefault="00540829" w:rsidP="00540829">
      <w:pPr>
        <w:pStyle w:val="Contention2"/>
      </w:pPr>
      <w:bookmarkStart w:id="109" w:name="_Toc24201367"/>
      <w:r>
        <w:t>Example: PG&amp;E case.  It proves local bankruptcy courts can successfully manage cases</w:t>
      </w:r>
      <w:bookmarkEnd w:id="109"/>
    </w:p>
    <w:p w14:paraId="2483E421" w14:textId="72D39256" w:rsidR="00540829" w:rsidRPr="00151515" w:rsidRDefault="00540829" w:rsidP="00540829">
      <w:pPr>
        <w:pStyle w:val="Citation3"/>
      </w:pPr>
      <w:bookmarkStart w:id="110" w:name="_Toc24200211"/>
      <w:r w:rsidRPr="00151515">
        <w:rPr>
          <w:u w:val="single"/>
        </w:rPr>
        <w:t xml:space="preserve">Peter </w:t>
      </w:r>
      <w:proofErr w:type="spellStart"/>
      <w:r w:rsidRPr="00151515">
        <w:rPr>
          <w:u w:val="single"/>
        </w:rPr>
        <w:t>Califano</w:t>
      </w:r>
      <w:proofErr w:type="spellEnd"/>
      <w:r w:rsidRPr="00151515">
        <w:rPr>
          <w:u w:val="single"/>
        </w:rPr>
        <w:t xml:space="preserve"> 2011</w:t>
      </w:r>
      <w:r>
        <w:t xml:space="preserve"> (</w:t>
      </w:r>
      <w:r w:rsidRPr="00151515">
        <w:t>bankruptcy attorney at Cooper White &amp; Cooper in San Francisco where he chairs the bankruptcy and creditors' rights groups</w:t>
      </w:r>
      <w:r>
        <w:t xml:space="preserve">) 8 Sept 2011 HEARING BEFORE THE  SUBCOMMITTEE ON COURTS, COMMERCIAL AND ADMINISTRATIVE LAW OF THE COMMITTEE ON THE JUDICIARY, HOUSE OF REPRESENTATIVES, ONE HUNDRED TWELFTH CONGRESS FIRST SESSION ON H.R. 2533 </w:t>
      </w:r>
      <w:hyperlink r:id="rId75" w:history="1">
        <w:r w:rsidRPr="007A20CA">
          <w:rPr>
            <w:rStyle w:val="Hyperlink"/>
          </w:rPr>
          <w:t>http://www.gpo.gov/fdsys/pkg/CHRG-112hhrg68185/html/CHRG-112hhrg68185.htm</w:t>
        </w:r>
        <w:bookmarkEnd w:id="110"/>
      </w:hyperlink>
    </w:p>
    <w:p w14:paraId="02F60FD5" w14:textId="3224F05B" w:rsidR="00540829" w:rsidRDefault="00540829" w:rsidP="00540829">
      <w:pPr>
        <w:pStyle w:val="Evidence"/>
      </w:pPr>
      <w:r w:rsidRPr="00540829">
        <w:t>Now</w:t>
      </w:r>
      <w:r w:rsidRPr="00540829">
        <w:rPr>
          <w:u w:val="single"/>
        </w:rPr>
        <w:t>, let me give you an example of a local case that</w:t>
      </w:r>
      <w:r w:rsidRPr="00540829">
        <w:t xml:space="preserve"> is successful or </w:t>
      </w:r>
      <w:r w:rsidRPr="00540829">
        <w:rPr>
          <w:u w:val="single"/>
        </w:rPr>
        <w:t>was successful, the Pacific Gas and Electric Company case. This bankruptcy was the largest utility bankruptcy case ever to be filed. It had $35 billion in assets and approximately 20,000 employees. The case was commenced in the Northern District of California.</w:t>
      </w:r>
      <w:r w:rsidRPr="00540829">
        <w:t xml:space="preserve"> </w:t>
      </w:r>
      <w:r w:rsidRPr="00540829">
        <w:rPr>
          <w:u w:val="single"/>
        </w:rPr>
        <w:t>Immediately local builders and lawyers formed an informal group to negotiate and litigate with the debtor over the assumption of highly regulated and specialized agreements for extending power into new subdivisions. The group was successful in achieving an early resolution for the home builders</w:t>
      </w:r>
      <w:r w:rsidRPr="00540829">
        <w:t xml:space="preserve">.    There are many examples of this kind of thing in this case.    Please note that this case was with the Honorable Dennis </w:t>
      </w:r>
      <w:proofErr w:type="spellStart"/>
      <w:r w:rsidRPr="00540829">
        <w:t>Montali</w:t>
      </w:r>
      <w:proofErr w:type="spellEnd"/>
      <w:r w:rsidRPr="00540829">
        <w:t xml:space="preserve"> resulting in a confirmed plan and a successfully reorganized debtor</w:t>
      </w:r>
      <w:r w:rsidRPr="00540829">
        <w:rPr>
          <w:u w:val="single"/>
        </w:rPr>
        <w:t>. This confirms that there are other courts around the country who have the skill and ability to handle a mega bankruptcy case</w:t>
      </w:r>
      <w:r w:rsidRPr="00540829">
        <w:t xml:space="preserve">. </w:t>
      </w:r>
    </w:p>
    <w:p w14:paraId="691D2831" w14:textId="58D6CFF5" w:rsidR="007A38D2" w:rsidRDefault="007A38D2" w:rsidP="007A38D2">
      <w:pPr>
        <w:pStyle w:val="Contention2"/>
      </w:pPr>
      <w:bookmarkStart w:id="111" w:name="_Toc24201368"/>
      <w:r>
        <w:t>Restricting venue restores bankruptcy court legitimacy</w:t>
      </w:r>
      <w:bookmarkEnd w:id="111"/>
    </w:p>
    <w:p w14:paraId="58F6A5B0" w14:textId="77777777" w:rsidR="007A38D2" w:rsidRDefault="007A38D2" w:rsidP="007A38D2">
      <w:pPr>
        <w:pStyle w:val="Citation3"/>
      </w:pPr>
      <w:bookmarkStart w:id="112" w:name="_Toc24200212"/>
      <w:r w:rsidRPr="00751391">
        <w:rPr>
          <w:u w:val="single"/>
        </w:rPr>
        <w:t>Judge Stephen Rhodes 2015</w:t>
      </w:r>
      <w:r w:rsidRPr="00751391">
        <w:t xml:space="preserve"> (</w:t>
      </w:r>
      <w:r>
        <w:t xml:space="preserve">30 </w:t>
      </w:r>
      <w:proofErr w:type="spellStart"/>
      <w:r>
        <w:t>years experience</w:t>
      </w:r>
      <w:proofErr w:type="spellEnd"/>
      <w:r>
        <w:t xml:space="preserve"> as a bankruptcy judge</w:t>
      </w:r>
      <w:r w:rsidRPr="00751391">
        <w:t xml:space="preserve">) WALL STREET JOURNAL 9 Feb 2015 “The Baffling Rejection of Venue Reform by the ABI Chapter 11 Reform Commission” </w:t>
      </w:r>
      <w:r>
        <w:t xml:space="preserve"> </w:t>
      </w:r>
      <w:hyperlink r:id="rId76" w:history="1">
        <w:r w:rsidRPr="00BC5850">
          <w:rPr>
            <w:rStyle w:val="Hyperlink"/>
          </w:rPr>
          <w:t>http://blogs.wsj.com/bankruptcy/2015/02/09/the-baffling-rejection-of-venue-reform-by-the-abi-chapter-11-reform-commission/</w:t>
        </w:r>
        <w:bookmarkEnd w:id="112"/>
      </w:hyperlink>
    </w:p>
    <w:p w14:paraId="568E77E6" w14:textId="6D81B670" w:rsidR="007A38D2" w:rsidRPr="007A38D2" w:rsidRDefault="007A38D2" w:rsidP="007A38D2">
      <w:pPr>
        <w:pStyle w:val="Evidence"/>
      </w:pPr>
      <w:r w:rsidRPr="007A38D2">
        <w:t>Venue shopping in chapter 11 cases undermines judicial legitimacy when it prevents or even impairs the meaningful participation of any of the parties. It also undermines the integrity of the adjudicative process itself.</w:t>
      </w:r>
      <w:r>
        <w:t xml:space="preserve"> </w:t>
      </w:r>
      <w:r w:rsidRPr="007A38D2">
        <w:t>Because the fulfillment of the judiciary’s mission depends so fundamentally on its legitimacy in the eyes of the public, chapter 11 venue should be carefully restricted to maximize the participation of the parties. Although no single venue in a large chapter 11 case may perfectly facilitate this goal, venue in the district of the debtor’s principal place of business does offer the best opportunity.</w:t>
      </w:r>
    </w:p>
    <w:p w14:paraId="6BC5A514" w14:textId="5F5EBD01" w:rsidR="007F229D" w:rsidRDefault="008E690D" w:rsidP="008E690D">
      <w:pPr>
        <w:pStyle w:val="Contention1"/>
      </w:pPr>
      <w:bookmarkStart w:id="113" w:name="_Toc24201369"/>
      <w:r>
        <w:lastRenderedPageBreak/>
        <w:t>DISADVANTAGE RESPONSES</w:t>
      </w:r>
      <w:bookmarkEnd w:id="113"/>
    </w:p>
    <w:p w14:paraId="4F6A5922" w14:textId="6C7D0F42" w:rsidR="00CE330E" w:rsidRDefault="00CE330E" w:rsidP="00CE330E">
      <w:pPr>
        <w:pStyle w:val="Contention2"/>
      </w:pPr>
      <w:bookmarkStart w:id="114" w:name="_Toc24201370"/>
      <w:r>
        <w:t>A/T “Lose the expertise of experienced judges in magnet courts” – Other judges are well qualified</w:t>
      </w:r>
      <w:bookmarkEnd w:id="114"/>
      <w:r>
        <w:t xml:space="preserve"> </w:t>
      </w:r>
    </w:p>
    <w:p w14:paraId="5C0CDDB1" w14:textId="77777777" w:rsidR="00CE330E" w:rsidRDefault="00CE330E" w:rsidP="00CE330E">
      <w:pPr>
        <w:pStyle w:val="Citation3"/>
      </w:pPr>
      <w:bookmarkStart w:id="115" w:name="_Toc24200213"/>
      <w:r w:rsidRPr="008C66C1">
        <w:rPr>
          <w:u w:val="single"/>
        </w:rPr>
        <w:t>Venue Committee of the Bankruptcy Section of the Minnesota State Bar Association 2016</w:t>
      </w:r>
      <w:r>
        <w:t xml:space="preserve">.  “Report of the Venue Committee of the Bankruptcy Section of the Minnesota State Bar Association in Support of Venue Fairness” 21 Jan 2016 </w:t>
      </w:r>
      <w:hyperlink r:id="rId77" w:history="1">
        <w:r>
          <w:rPr>
            <w:rStyle w:val="Hyperlink"/>
          </w:rPr>
          <w:t>https://clla.org/wp-content/uploads/2018/PDFs/Sections/Bankruptcy/1._Report_of_Venue_Fairness-.pdf</w:t>
        </w:r>
        <w:bookmarkEnd w:id="115"/>
      </w:hyperlink>
    </w:p>
    <w:p w14:paraId="30FC56C1" w14:textId="0BFD2AD2" w:rsidR="00CE330E" w:rsidRDefault="00CE330E" w:rsidP="00C906DC">
      <w:pPr>
        <w:pStyle w:val="Evidence"/>
      </w:pPr>
      <w:r>
        <w:rPr>
          <w:noProof/>
          <w:lang w:eastAsia="en-US"/>
        </w:rPr>
        <w:drawing>
          <wp:inline distT="0" distB="0" distL="0" distR="0" wp14:anchorId="773F99B5" wp14:editId="68C94230">
            <wp:extent cx="5833110" cy="1268095"/>
            <wp:effectExtent l="0" t="0" r="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833110" cy="1268095"/>
                    </a:xfrm>
                    <a:prstGeom prst="rect">
                      <a:avLst/>
                    </a:prstGeom>
                    <a:noFill/>
                    <a:ln>
                      <a:noFill/>
                    </a:ln>
                  </pic:spPr>
                </pic:pic>
              </a:graphicData>
            </a:graphic>
          </wp:inline>
        </w:drawing>
      </w:r>
    </w:p>
    <w:p w14:paraId="4B96F2CD" w14:textId="1348D3FC" w:rsidR="00A25F46" w:rsidRDefault="00A4439C" w:rsidP="00675C2E">
      <w:pPr>
        <w:pStyle w:val="Contention2"/>
      </w:pPr>
      <w:bookmarkStart w:id="116" w:name="_Toc24201371"/>
      <w:r>
        <w:t xml:space="preserve">A/T </w:t>
      </w:r>
      <w:r w:rsidR="00675C2E">
        <w:t>“</w:t>
      </w:r>
      <w:r>
        <w:t>L</w:t>
      </w:r>
      <w:r w:rsidR="00675C2E">
        <w:t xml:space="preserve">ose </w:t>
      </w:r>
      <w:r>
        <w:t>the</w:t>
      </w:r>
      <w:r w:rsidR="00675C2E">
        <w:t xml:space="preserve"> expertise</w:t>
      </w:r>
      <w:r>
        <w:t xml:space="preserve"> of experienced judges in magnet courts</w:t>
      </w:r>
      <w:r w:rsidR="00675C2E">
        <w:t xml:space="preserve">” –Other courts are well qualified and we should </w:t>
      </w:r>
      <w:r w:rsidR="00766BAD">
        <w:t>use</w:t>
      </w:r>
      <w:r w:rsidR="00675C2E">
        <w:t xml:space="preserve"> them</w:t>
      </w:r>
      <w:bookmarkEnd w:id="116"/>
    </w:p>
    <w:p w14:paraId="2BD2FB9B" w14:textId="77777777" w:rsidR="00675C2E" w:rsidRDefault="00675C2E" w:rsidP="00675C2E">
      <w:pPr>
        <w:pStyle w:val="Citation3"/>
      </w:pPr>
      <w:bookmarkStart w:id="117" w:name="_Toc24200214"/>
      <w:r w:rsidRPr="00675C2E">
        <w:rPr>
          <w:u w:val="single"/>
        </w:rPr>
        <w:t>Honorable Frank J. Bailey 2011</w:t>
      </w:r>
      <w:r>
        <w:t xml:space="preserve"> (Chief Judge, Bankruptcy Court for the District of Massachusetts) 8 Sept 2011 HEARING BEFORE THE  SUBCOMMITTEE ON COURTS, COMMERCIAL AND ADMINISTRATIVE LAW OF THE COMMITTEE ON THE JUDICIARY, HOUSE OF REPRESENTATIVES, ONE HUNDRED TWELFTH CONGRESS FIRST SESSION ON H.R. 2533 </w:t>
      </w:r>
      <w:hyperlink r:id="rId79" w:history="1">
        <w:r w:rsidRPr="007A20CA">
          <w:rPr>
            <w:rStyle w:val="Hyperlink"/>
          </w:rPr>
          <w:t>http://www.gpo.gov/fdsys/pkg/CHRG-112hhrg68185/html/CHRG-112hhrg68185.htm</w:t>
        </w:r>
        <w:bookmarkEnd w:id="117"/>
      </w:hyperlink>
      <w:r>
        <w:t xml:space="preserve"> </w:t>
      </w:r>
    </w:p>
    <w:p w14:paraId="17414469" w14:textId="5EDB3CE7" w:rsidR="00675C2E" w:rsidRDefault="00675C2E" w:rsidP="00675C2E">
      <w:pPr>
        <w:pStyle w:val="Evidence"/>
        <w:rPr>
          <w:u w:val="single"/>
        </w:rPr>
      </w:pPr>
      <w:r w:rsidRPr="00675C2E">
        <w:t xml:space="preserve">My third point and last point is </w:t>
      </w:r>
      <w:r w:rsidRPr="00675C2E">
        <w:rPr>
          <w:u w:val="single"/>
        </w:rPr>
        <w:t>there are talented and sophisticated judges in other districts. We should be using them. In Massachusetts and all over the country, we have accomplished and sophisticated judges capable of handling their fair share of large, complex business cases</w:t>
      </w:r>
      <w:r w:rsidRPr="00675C2E">
        <w:t xml:space="preserve">. We put a slide up. The slide will speak for itself. </w:t>
      </w:r>
      <w:r w:rsidRPr="00675C2E">
        <w:rPr>
          <w:u w:val="single"/>
        </w:rPr>
        <w:t>These judges are no slackers. In fact, they include the incoming President of the National Conference of Bankruptcy Judges</w:t>
      </w:r>
      <w:r w:rsidRPr="00675C2E">
        <w:t xml:space="preserve">, my colleague, Judge </w:t>
      </w:r>
      <w:r w:rsidRPr="00675C2E">
        <w:rPr>
          <w:u w:val="single"/>
        </w:rPr>
        <w:t>Joan Feeney. The past presidents of that august organization in just the last few years have come from Texas, Nevada, Ohio, and Oregon. The way our judicial system is supposed to work is to rely on the creativity and innovation of judges from around the country in handling these large company cases. Right now, the concentration of cases in the magnet districts, I am afraid, restricts that innovation.</w:t>
      </w:r>
    </w:p>
    <w:p w14:paraId="487CF774" w14:textId="6F4314E4" w:rsidR="00C813E1" w:rsidRDefault="002B4058" w:rsidP="00C813E1">
      <w:pPr>
        <w:pStyle w:val="Contention2"/>
      </w:pPr>
      <w:bookmarkStart w:id="118" w:name="_Toc24201372"/>
      <w:r>
        <w:t xml:space="preserve">A/T </w:t>
      </w:r>
      <w:r w:rsidR="00C813E1">
        <w:t>“Lost expertise” – Non-magnet court judges will not be a problem</w:t>
      </w:r>
      <w:bookmarkEnd w:id="118"/>
    </w:p>
    <w:p w14:paraId="660FDC5F" w14:textId="070B5BC3" w:rsidR="00C813E1" w:rsidRDefault="00C813E1" w:rsidP="00C813E1">
      <w:pPr>
        <w:pStyle w:val="Citation3"/>
      </w:pPr>
      <w:bookmarkStart w:id="119" w:name="_Toc24200215"/>
      <w:r w:rsidRPr="002F1C38">
        <w:rPr>
          <w:u w:val="single"/>
        </w:rPr>
        <w:t>Prof. Melissa Jacoby 2011</w:t>
      </w:r>
      <w:r>
        <w:t xml:space="preserve"> (professor law, Univ. of N. Carolina Law School) 8 Sept 2011 HEARING BEFORE THE  SUBCOMMITTEE ON COURTS, COMMERCIAL AND ADMINISTRATIVE LAW OF THE COMMITTEE ON THE JUDICIARY, HOUSE OF REPRESENTATIVES, ONE HUNDRED TWELFTH CONGRESS FIRST SESSION ON H.R. 2533 </w:t>
      </w:r>
      <w:hyperlink r:id="rId80" w:history="1">
        <w:r w:rsidR="00CB575D" w:rsidRPr="00D9100E">
          <w:rPr>
            <w:rStyle w:val="Hyperlink"/>
          </w:rPr>
          <w:t>http://www.gpo.gov/fdsys/pkg/CHRG-112hhrg68185/html/CHRG-112hhrg68185.htm</w:t>
        </w:r>
        <w:bookmarkEnd w:id="119"/>
      </w:hyperlink>
      <w:r w:rsidR="00CB575D">
        <w:t xml:space="preserve"> </w:t>
      </w:r>
    </w:p>
    <w:p w14:paraId="465AAA6A" w14:textId="287F271F" w:rsidR="00C813E1" w:rsidRPr="00C813E1" w:rsidRDefault="00C813E1" w:rsidP="00C813E1">
      <w:pPr>
        <w:pStyle w:val="Evidence"/>
      </w:pPr>
      <w:r w:rsidRPr="00C813E1">
        <w:t>And finally, some justify with fears that judges will handle the cases less well than judges in magnet courts. And I do think that that is unfounded. Even if it were true, I think there are ways that we could structure the system to overcome that concern.</w:t>
      </w:r>
    </w:p>
    <w:p w14:paraId="69EE7E2B" w14:textId="793F1372" w:rsidR="00675C2E" w:rsidRDefault="002B4058" w:rsidP="00675C2E">
      <w:pPr>
        <w:pStyle w:val="Contention2"/>
      </w:pPr>
      <w:bookmarkStart w:id="120" w:name="_Toc24201373"/>
      <w:r>
        <w:lastRenderedPageBreak/>
        <w:t xml:space="preserve">A/T </w:t>
      </w:r>
      <w:r w:rsidR="003172F7">
        <w:t xml:space="preserve">“Lost expertise if we move away from Delaware and N.Y.” – </w:t>
      </w:r>
      <w:r>
        <w:t xml:space="preserve"> </w:t>
      </w:r>
      <w:r w:rsidR="003172F7">
        <w:t xml:space="preserve">No evidence those </w:t>
      </w:r>
      <w:r>
        <w:t xml:space="preserve">judges </w:t>
      </w:r>
      <w:r w:rsidR="003172F7">
        <w:t>are better than others</w:t>
      </w:r>
      <w:bookmarkEnd w:id="120"/>
    </w:p>
    <w:p w14:paraId="215557D8" w14:textId="5418484F" w:rsidR="003172F7" w:rsidRDefault="003172F7" w:rsidP="003172F7">
      <w:pPr>
        <w:pStyle w:val="Citation3"/>
      </w:pPr>
      <w:bookmarkStart w:id="121" w:name="_Toc24200216"/>
      <w:r w:rsidRPr="002F1C38">
        <w:rPr>
          <w:u w:val="single"/>
        </w:rPr>
        <w:t>Prof. Melissa Jacoby 2011</w:t>
      </w:r>
      <w:r>
        <w:t xml:space="preserve"> (professor law, Univ. of N. Carolina Law School) 8 Sept 2011 HEARING BEFORE THE  SUBCOMMITTEE ON COURTS, COMMERCIAL AND ADMINISTRATIVE LAW OF THE COMMITTEE ON THE JUDICIARY, HOUSE OF REPRESENTATIVES, ONE HUNDRED TWELFTH CONGRESS FIRST SESSION ON H.R. 2533 </w:t>
      </w:r>
      <w:hyperlink r:id="rId81" w:history="1">
        <w:r w:rsidR="00CB575D" w:rsidRPr="00D9100E">
          <w:rPr>
            <w:rStyle w:val="Hyperlink"/>
          </w:rPr>
          <w:t>http://www.gpo.gov/fdsys/pkg/CHRG-112hhrg68185/html/CHRG-112hhrg68185.htm</w:t>
        </w:r>
        <w:bookmarkEnd w:id="121"/>
      </w:hyperlink>
      <w:r w:rsidR="00CB575D">
        <w:t xml:space="preserve"> </w:t>
      </w:r>
    </w:p>
    <w:p w14:paraId="59DA9B5A" w14:textId="70CF9D83" w:rsidR="000754B9" w:rsidRDefault="003172F7">
      <w:pPr>
        <w:pStyle w:val="Evidence"/>
      </w:pPr>
      <w:r w:rsidRPr="00EE363B">
        <w:t>Certainly there are some judges empirically who have had more experience with big cases than judges in other districts. There are also relatively new judges in New York and Delaware who, again, may be doing a great job but they do not all come from the same level of experience</w:t>
      </w:r>
      <w:r w:rsidRPr="003172F7">
        <w:t xml:space="preserve">.    When we take apart the pieces of what is desired in a judge, we want fairness and competence and accessibility and speed. I think those are things that both the judiciary is well equipped to handle and that also can be adapted and come up with new innovations.    I can understand why parties want to hire very experienced lawyers, but I think that expertise--we have to be careful with how we make that argument. </w:t>
      </w:r>
      <w:r w:rsidRPr="00EE363B">
        <w:t>We have no evidence that things are going better in these two districts than other places</w:t>
      </w:r>
      <w:r w:rsidRPr="003172F7">
        <w:t>.</w:t>
      </w:r>
    </w:p>
    <w:p w14:paraId="67DAA8EB" w14:textId="77777777" w:rsidR="000754B9" w:rsidRDefault="000754B9">
      <w:pPr>
        <w:spacing w:after="0" w:line="240" w:lineRule="auto"/>
        <w:rPr>
          <w:rFonts w:ascii="Times New Roman" w:eastAsia="Times New Roman" w:hAnsi="Times New Roman"/>
          <w:bCs/>
          <w:color w:val="000000"/>
          <w:sz w:val="20"/>
          <w:szCs w:val="20"/>
          <w:lang w:eastAsia="fr-FR"/>
        </w:rPr>
      </w:pPr>
      <w:r>
        <w:br w:type="page"/>
      </w:r>
    </w:p>
    <w:p w14:paraId="4A8F22CD" w14:textId="77777777" w:rsidR="000754B9" w:rsidRDefault="000754B9" w:rsidP="000754B9">
      <w:pPr>
        <w:pStyle w:val="Title2"/>
      </w:pPr>
      <w:bookmarkStart w:id="122" w:name="_Toc23450297"/>
      <w:bookmarkStart w:id="123" w:name="_Toc24201374"/>
      <w:r>
        <w:lastRenderedPageBreak/>
        <w:t>Works Cited</w:t>
      </w:r>
      <w:bookmarkEnd w:id="122"/>
      <w:bookmarkEnd w:id="123"/>
    </w:p>
    <w:p w14:paraId="5895B5F9" w14:textId="77777777" w:rsidR="000754B9" w:rsidRDefault="000754B9">
      <w:pPr>
        <w:pStyle w:val="TOC4"/>
        <w:rPr>
          <w:rFonts w:asciiTheme="minorHAnsi" w:eastAsiaTheme="minorEastAsia" w:hAnsiTheme="minorHAnsi" w:cstheme="minorBidi"/>
          <w:noProof/>
          <w:sz w:val="24"/>
          <w:szCs w:val="24"/>
        </w:rPr>
      </w:pPr>
      <w:r>
        <w:fldChar w:fldCharType="begin"/>
      </w:r>
      <w:r>
        <w:instrText xml:space="preserve"> TOC \o "1-4" \n \t "Citation3,4" </w:instrText>
      </w:r>
      <w:r>
        <w:fldChar w:fldCharType="separate"/>
      </w:r>
      <w:r w:rsidRPr="00B67447">
        <w:rPr>
          <w:noProof/>
          <w:u w:val="single"/>
        </w:rPr>
        <w:t>Merriam Webster</w:t>
      </w:r>
      <w:r>
        <w:rPr>
          <w:noProof/>
        </w:rPr>
        <w:t xml:space="preserve"> Online Dictionary </w:t>
      </w:r>
      <w:r w:rsidRPr="00B67447">
        <w:rPr>
          <w:noProof/>
          <w:u w:val="single"/>
        </w:rPr>
        <w:t>2019</w:t>
      </w:r>
      <w:r>
        <w:rPr>
          <w:noProof/>
        </w:rPr>
        <w:t xml:space="preserve"> </w:t>
      </w:r>
      <w:r w:rsidRPr="00B67447">
        <w:rPr>
          <w:noProof/>
          <w:color w:val="7F7F7F"/>
          <w:u w:val="dotted" w:color="7F7F7F"/>
        </w:rPr>
        <w:t>https://www.merriam-webster.com/dictionary/substantial</w:t>
      </w:r>
    </w:p>
    <w:p w14:paraId="0F0FA4E5" w14:textId="77777777" w:rsidR="000754B9" w:rsidRDefault="000754B9">
      <w:pPr>
        <w:pStyle w:val="TOC4"/>
        <w:rPr>
          <w:rFonts w:asciiTheme="minorHAnsi" w:eastAsiaTheme="minorEastAsia" w:hAnsiTheme="minorHAnsi" w:cstheme="minorBidi"/>
          <w:noProof/>
          <w:sz w:val="24"/>
          <w:szCs w:val="24"/>
        </w:rPr>
      </w:pPr>
      <w:r w:rsidRPr="00B67447">
        <w:rPr>
          <w:noProof/>
          <w:u w:val="single"/>
        </w:rPr>
        <w:t>Pres. George W. Bush 2005</w:t>
      </w:r>
      <w:r>
        <w:rPr>
          <w:noProof/>
        </w:rPr>
        <w:t xml:space="preserve">.  “Remarks on Signing the Bankruptcy Abuse Prevention and Consumer Protection Act of 205” </w:t>
      </w:r>
      <w:r w:rsidRPr="00B67447">
        <w:rPr>
          <w:noProof/>
          <w:u w:color="7F7F7F"/>
        </w:rPr>
        <w:t>https://books.google.com/books?id=TtUc4s1BCqwC&amp;pg=PA639&amp;lpg=PA639&amp;dq=%22our+financial+system+stronger+and+better%22+%22integrity+to+the+bankruptcy%22&amp;source=bl&amp;ots=9aHizct5FA&amp;sig=ACfU3U1j6eNnvGePW1Qvn9ao0OYPu0JaKQ&amp;hl=en&amp;sa=X&amp;ved=2ahUKEwid9pTNiM7lAhVGc98KHd4zBwQQ6AEwAXoECAcQAQ#v=onepage&amp;q=%22our%20financial%20system%20stronger%20and%20better%22%20%22integrity%20to%20the%20bankruptcy%22&amp;f=false</w:t>
      </w:r>
    </w:p>
    <w:p w14:paraId="6635A089" w14:textId="77777777" w:rsidR="000754B9" w:rsidRDefault="000754B9">
      <w:pPr>
        <w:pStyle w:val="TOC4"/>
        <w:rPr>
          <w:rFonts w:asciiTheme="minorHAnsi" w:eastAsiaTheme="minorEastAsia" w:hAnsiTheme="minorHAnsi" w:cstheme="minorBidi"/>
          <w:noProof/>
          <w:sz w:val="24"/>
          <w:szCs w:val="24"/>
        </w:rPr>
      </w:pPr>
      <w:r w:rsidRPr="00B67447">
        <w:rPr>
          <w:noProof/>
          <w:u w:val="single"/>
        </w:rPr>
        <w:t>Robbin Itkin 2018.</w:t>
      </w:r>
      <w:r>
        <w:rPr>
          <w:noProof/>
        </w:rPr>
        <w:t xml:space="preserve"> (bankruptcy attorney) 7 March 2018 “You want to file a bankruptcy case where?????” </w:t>
      </w:r>
      <w:r w:rsidRPr="00B67447">
        <w:rPr>
          <w:noProof/>
          <w:u w:color="7F7F7F"/>
        </w:rPr>
        <w:t>https://www.dlapiper.com/en/us/insights/publications/2018/03/global-insight-issue-23/2you-want-to-file-a-bankruptcy-case-where/</w:t>
      </w:r>
    </w:p>
    <w:p w14:paraId="325C9338" w14:textId="77777777" w:rsidR="000754B9" w:rsidRDefault="000754B9">
      <w:pPr>
        <w:pStyle w:val="TOC4"/>
        <w:rPr>
          <w:rFonts w:asciiTheme="minorHAnsi" w:eastAsiaTheme="minorEastAsia" w:hAnsiTheme="minorHAnsi" w:cstheme="minorBidi"/>
          <w:noProof/>
          <w:sz w:val="24"/>
          <w:szCs w:val="24"/>
        </w:rPr>
      </w:pPr>
      <w:r w:rsidRPr="00B67447">
        <w:rPr>
          <w:noProof/>
          <w:u w:val="single"/>
        </w:rPr>
        <w:t>National Conference of Bankruptcy Judges 2018</w:t>
      </w:r>
      <w:r>
        <w:rPr>
          <w:noProof/>
        </w:rPr>
        <w:t xml:space="preserve">. (voluntary association of United States Bankruptcy Judges, comprised of approximately 82% of the nation’s active and recalled bankruptcy judges) NCBJ Special Committee on Venue: Report on Proposal for Revision of the Venue Statute in Commercial Bankruptcy Cases   27 Nov 2018 </w:t>
      </w:r>
      <w:r w:rsidRPr="00B67447">
        <w:rPr>
          <w:noProof/>
          <w:color w:val="7F7F7F"/>
          <w:u w:val="dotted" w:color="7F7F7F"/>
        </w:rPr>
        <w:t>https://cdn.ymaws.com/www.ncbj.org/resource/resmgr/docs_public/Venue_White_Paper_-_Final.pdf</w:t>
      </w:r>
    </w:p>
    <w:p w14:paraId="248890F4" w14:textId="1B2282D3" w:rsidR="000754B9" w:rsidRDefault="000754B9">
      <w:pPr>
        <w:pStyle w:val="TOC4"/>
        <w:rPr>
          <w:rFonts w:asciiTheme="minorHAnsi" w:eastAsiaTheme="minorEastAsia" w:hAnsiTheme="minorHAnsi" w:cstheme="minorBidi"/>
          <w:noProof/>
          <w:sz w:val="24"/>
          <w:szCs w:val="24"/>
        </w:rPr>
      </w:pPr>
      <w:r w:rsidRPr="00B67447">
        <w:rPr>
          <w:noProof/>
          <w:u w:val="single"/>
        </w:rPr>
        <w:t>Venue Committee of the Bankruptcy Section of the Minnesota State Bar Association 2016</w:t>
      </w:r>
      <w:r>
        <w:rPr>
          <w:noProof/>
        </w:rPr>
        <w:t xml:space="preserve">.  “Report of the Venue Committee of the Bankruptcy Section of the Minnesota State Bar Association in Support of Venue Fairness” 21 Jan 2016 </w:t>
      </w:r>
      <w:r w:rsidRPr="00B67447">
        <w:rPr>
          <w:noProof/>
          <w:color w:val="7F7F7F"/>
          <w:u w:val="dotted" w:color="7F7F7F"/>
        </w:rPr>
        <w:t>https://clla.org/wp-content/uploads/2018/PDFs/Sections/Bankruptcy/1._Report_of_Venue_Fairness-.pdf</w:t>
      </w:r>
      <w:r>
        <w:rPr>
          <w:noProof/>
        </w:rPr>
        <w:t xml:space="preserve"> </w:t>
      </w:r>
    </w:p>
    <w:p w14:paraId="262DB0AA" w14:textId="2F65CC25" w:rsidR="000754B9" w:rsidRDefault="000754B9">
      <w:pPr>
        <w:pStyle w:val="TOC4"/>
        <w:rPr>
          <w:rFonts w:asciiTheme="minorHAnsi" w:eastAsiaTheme="minorEastAsia" w:hAnsiTheme="minorHAnsi" w:cstheme="minorBidi"/>
          <w:noProof/>
          <w:sz w:val="24"/>
          <w:szCs w:val="24"/>
        </w:rPr>
      </w:pPr>
      <w:r w:rsidRPr="00B67447">
        <w:rPr>
          <w:noProof/>
          <w:u w:val="single"/>
        </w:rPr>
        <w:t>Peter Califano 2011</w:t>
      </w:r>
      <w:r>
        <w:rPr>
          <w:noProof/>
        </w:rPr>
        <w:t xml:space="preserve"> (bankruptcy attorney at Cooper White &amp; Cooper in San Francisco where he chairs the bankruptcy and creditors' rights groups) 8 Sept 2011 HEARING BEFORE THE  SUBCOMMITTEE ON COURTS, COMMERCIAL AND ADMINISTRATIVE LAW OF THE COMMITTEE ON THE JUDICIARY, HOUSE OF REPRESENTATIVES, ONE HUNDRED TWELFTH CONGRESS FIRST SESSION ON H.R. 2533 </w:t>
      </w:r>
      <w:r w:rsidRPr="00B67447">
        <w:rPr>
          <w:noProof/>
          <w:color w:val="7F7F7F"/>
          <w:u w:val="dotted" w:color="7F7F7F"/>
        </w:rPr>
        <w:t>http://www.gpo.gov/fdsys/pkg/CHRG-112hhrg68185/html/CHRG-112hhrg68185.htm</w:t>
      </w:r>
      <w:r>
        <w:rPr>
          <w:noProof/>
        </w:rPr>
        <w:t xml:space="preserve"> </w:t>
      </w:r>
    </w:p>
    <w:p w14:paraId="2D2596C6" w14:textId="77777777" w:rsidR="000754B9" w:rsidRDefault="000754B9">
      <w:pPr>
        <w:pStyle w:val="TOC4"/>
        <w:rPr>
          <w:rFonts w:asciiTheme="minorHAnsi" w:eastAsiaTheme="minorEastAsia" w:hAnsiTheme="minorHAnsi" w:cstheme="minorBidi"/>
          <w:noProof/>
          <w:sz w:val="24"/>
          <w:szCs w:val="24"/>
        </w:rPr>
      </w:pPr>
      <w:r w:rsidRPr="00B67447">
        <w:rPr>
          <w:noProof/>
          <w:u w:val="single"/>
        </w:rPr>
        <w:t>Rep. Zoe Lofgren and Rep. Jim Sensenbrenner 2019.</w:t>
      </w:r>
      <w:r>
        <w:rPr>
          <w:noProof/>
        </w:rPr>
        <w:t xml:space="preserve"> (Logren – D-Calif.  Sensenbrenner – R-Wisconsin. Members of the US House of Representatives) Reps. Lofgren and Sensenbrenner Introduce Legislation to End Corporate Bankruptcy Forum Shopping, 19 Sept 2019 Press Release from the office of Rep. Zoe Lofgren  </w:t>
      </w:r>
      <w:r w:rsidRPr="00B67447">
        <w:rPr>
          <w:noProof/>
          <w:color w:val="7F7F7F"/>
          <w:u w:val="dotted" w:color="7F7F7F"/>
        </w:rPr>
        <w:t>https://lofgren.house.gov/media/press-releases/reps-lofgren-and-sensenbrenner-introduce-legislation-end-corporate-bankruptcy</w:t>
      </w:r>
    </w:p>
    <w:p w14:paraId="6242D4C7" w14:textId="77777777" w:rsidR="000754B9" w:rsidRDefault="000754B9">
      <w:pPr>
        <w:pStyle w:val="TOC4"/>
        <w:rPr>
          <w:rFonts w:asciiTheme="minorHAnsi" w:eastAsiaTheme="minorEastAsia" w:hAnsiTheme="minorHAnsi" w:cstheme="minorBidi"/>
          <w:noProof/>
          <w:sz w:val="24"/>
          <w:szCs w:val="24"/>
        </w:rPr>
      </w:pPr>
      <w:r w:rsidRPr="00B67447">
        <w:rPr>
          <w:noProof/>
          <w:u w:val="single"/>
        </w:rPr>
        <w:lastRenderedPageBreak/>
        <w:t>Rep. Howard Coble 2011</w:t>
      </w:r>
      <w:r>
        <w:rPr>
          <w:noProof/>
        </w:rPr>
        <w:t xml:space="preserve"> (R-N. Carolina, and Chairman of the Subcommittee on Courts, Commercial and Administrative Law) 8 Sept 2011 HEARING BEFORE THE  SUBCOMMITTEE ON COURTS, COMMERCIAL AND ADMINISTRATIVE LAW OF THE COMMITTEE ON THE JUDICIARY, HOUSE OF REPRESENTATIVES, ONE HUNDRED TWELFTH CONGRESS FIRST SESSION ON H.R. 2533 </w:t>
      </w:r>
      <w:r w:rsidRPr="00B67447">
        <w:rPr>
          <w:noProof/>
          <w:color w:val="7F7F7F"/>
          <w:u w:val="dotted" w:color="7F7F7F"/>
        </w:rPr>
        <w:t>http://www.gpo.gov/fdsys/pkg/CHRG-112hhrg68185/html/CHRG-112hhrg68185.htm</w:t>
      </w:r>
    </w:p>
    <w:p w14:paraId="38E9B022" w14:textId="77777777" w:rsidR="000754B9" w:rsidRDefault="000754B9">
      <w:pPr>
        <w:pStyle w:val="TOC4"/>
        <w:rPr>
          <w:rFonts w:asciiTheme="minorHAnsi" w:eastAsiaTheme="minorEastAsia" w:hAnsiTheme="minorHAnsi" w:cstheme="minorBidi"/>
          <w:noProof/>
          <w:sz w:val="24"/>
          <w:szCs w:val="24"/>
        </w:rPr>
      </w:pPr>
      <w:r w:rsidRPr="00B67447">
        <w:rPr>
          <w:noProof/>
          <w:u w:val="single"/>
        </w:rPr>
        <w:t>Rep. Trey Gowdy 2011</w:t>
      </w:r>
      <w:r>
        <w:rPr>
          <w:noProof/>
        </w:rPr>
        <w:t xml:space="preserve"> (R-SC) 8 Sept 2011 HEARING BEFORE THE  SUBCOMMITTEE ON COURTS, COMMERCIAL AND ADMINISTRATIVE LAW OF THE COMMITTEE ON THE JUDICIARY, HOUSE OF REPRESENTATIVES, ONE HUNDRED TWELFTH CONGRESS FIRST SESSION ON H.R. 2533 </w:t>
      </w:r>
      <w:r w:rsidRPr="00B67447">
        <w:rPr>
          <w:noProof/>
          <w:color w:val="7F7F7F"/>
          <w:u w:val="dotted" w:color="7F7F7F"/>
        </w:rPr>
        <w:t>http://www.gpo.gov/fdsys/pkg/CHRG-112hhrg68185/html/CHRG-112hhrg68185.htm</w:t>
      </w:r>
    </w:p>
    <w:p w14:paraId="7816DA05" w14:textId="77777777" w:rsidR="000754B9" w:rsidRDefault="000754B9">
      <w:pPr>
        <w:pStyle w:val="TOC4"/>
        <w:rPr>
          <w:rFonts w:asciiTheme="minorHAnsi" w:eastAsiaTheme="minorEastAsia" w:hAnsiTheme="minorHAnsi" w:cstheme="minorBidi"/>
          <w:noProof/>
          <w:sz w:val="24"/>
          <w:szCs w:val="24"/>
        </w:rPr>
      </w:pPr>
      <w:r w:rsidRPr="00B67447">
        <w:rPr>
          <w:noProof/>
          <w:u w:color="7F7F7F"/>
        </w:rPr>
        <w:t>https://www.congress.gov/bill/116th-congress/house-bill/4421/text</w:t>
      </w:r>
    </w:p>
    <w:p w14:paraId="1FB6F192" w14:textId="77777777" w:rsidR="000754B9" w:rsidRDefault="000754B9">
      <w:pPr>
        <w:pStyle w:val="TOC4"/>
        <w:rPr>
          <w:rFonts w:asciiTheme="minorHAnsi" w:eastAsiaTheme="minorEastAsia" w:hAnsiTheme="minorHAnsi" w:cstheme="minorBidi"/>
          <w:noProof/>
          <w:sz w:val="24"/>
          <w:szCs w:val="24"/>
        </w:rPr>
      </w:pPr>
      <w:r w:rsidRPr="00B67447">
        <w:rPr>
          <w:noProof/>
          <w:u w:val="single"/>
        </w:rPr>
        <w:t>David Haynes 2019</w:t>
      </w:r>
      <w:r>
        <w:rPr>
          <w:noProof/>
        </w:rPr>
        <w:t xml:space="preserve"> (bankruptcy attorney) Are You Avoiding Bankruptcy Because of Stigma? 25 June 2019 </w:t>
      </w:r>
      <w:r w:rsidRPr="00B67447">
        <w:rPr>
          <w:noProof/>
          <w:color w:val="7F7F7F"/>
          <w:u w:val="dotted" w:color="7F7F7F"/>
        </w:rPr>
        <w:t>https://www.thebalance.com/bankruptcy-still-carries-stigmas-but-it-shouldn-t-316106</w:t>
      </w:r>
    </w:p>
    <w:p w14:paraId="485E3C57" w14:textId="77777777" w:rsidR="000754B9" w:rsidRDefault="000754B9">
      <w:pPr>
        <w:pStyle w:val="TOC4"/>
        <w:rPr>
          <w:rFonts w:asciiTheme="minorHAnsi" w:eastAsiaTheme="minorEastAsia" w:hAnsiTheme="minorHAnsi" w:cstheme="minorBidi"/>
          <w:noProof/>
          <w:sz w:val="24"/>
          <w:szCs w:val="24"/>
        </w:rPr>
      </w:pPr>
      <w:r w:rsidRPr="00B67447">
        <w:rPr>
          <w:noProof/>
          <w:u w:val="single"/>
        </w:rPr>
        <w:t>Cheryl R. Cooper 2019</w:t>
      </w:r>
      <w:r>
        <w:rPr>
          <w:noProof/>
        </w:rPr>
        <w:t xml:space="preserve"> (Analyst in Financial Economics for Congressional Research Service) 12 July 2019 “An Overview of Consumer Finance and Policy Issues” </w:t>
      </w:r>
      <w:r w:rsidRPr="00B67447">
        <w:rPr>
          <w:noProof/>
          <w:color w:val="7F7F7F"/>
          <w:u w:val="dotted" w:color="7F7F7F"/>
        </w:rPr>
        <w:t>https://fas.org/sgp/crs/misc/R45813.pdf</w:t>
      </w:r>
    </w:p>
    <w:p w14:paraId="623DA853" w14:textId="77777777" w:rsidR="000754B9" w:rsidRDefault="000754B9">
      <w:pPr>
        <w:pStyle w:val="TOC4"/>
        <w:rPr>
          <w:rFonts w:asciiTheme="minorHAnsi" w:eastAsiaTheme="minorEastAsia" w:hAnsiTheme="minorHAnsi" w:cstheme="minorBidi"/>
          <w:noProof/>
          <w:sz w:val="24"/>
          <w:szCs w:val="24"/>
        </w:rPr>
      </w:pPr>
      <w:r w:rsidRPr="00B67447">
        <w:rPr>
          <w:noProof/>
          <w:u w:val="single"/>
        </w:rPr>
        <w:t>Kevin M. Eckhardt and Matthew Mannering 2012</w:t>
      </w:r>
      <w:r>
        <w:rPr>
          <w:noProof/>
        </w:rPr>
        <w:t xml:space="preserve"> (attorneys; senior associates in the Charlotte office of Hunton &amp; Williams, LLP) PRATT’S JOURNAL OF BANKRUPTCY LAW, Oct 2012 </w:t>
      </w:r>
      <w:r w:rsidRPr="00B67447">
        <w:rPr>
          <w:noProof/>
          <w:color w:val="7F7F7F"/>
          <w:u w:val="dotted" w:color="7F7F7F"/>
        </w:rPr>
        <w:t>https://www.hunton.com/files/Publication/e5fde3f9-2390-41c0-9ccf-7e5f8859f32e/Presentation/PublicationAttachment/4e45d656-248f-4a14-aaa8-883f9e1d8866/Reform_of_Bankruptcy_Venue_and_Compensation_Rules.pdf</w:t>
      </w:r>
    </w:p>
    <w:p w14:paraId="36B72BC5" w14:textId="77777777" w:rsidR="000754B9" w:rsidRDefault="000754B9">
      <w:pPr>
        <w:pStyle w:val="TOC4"/>
        <w:rPr>
          <w:rFonts w:asciiTheme="minorHAnsi" w:eastAsiaTheme="minorEastAsia" w:hAnsiTheme="minorHAnsi" w:cstheme="minorBidi"/>
          <w:noProof/>
          <w:sz w:val="24"/>
          <w:szCs w:val="24"/>
        </w:rPr>
      </w:pPr>
      <w:r w:rsidRPr="00B67447">
        <w:rPr>
          <w:noProof/>
          <w:u w:val="single"/>
        </w:rPr>
        <w:t>Turnaround Management Association 2019.</w:t>
      </w:r>
      <w:r>
        <w:rPr>
          <w:noProof/>
        </w:rPr>
        <w:t xml:space="preserve"> (professional association for troubled corporate rescue and bankruptcy professionals) Goodbye, Delaware? Impact of Bankruptcy Venue Reform on Business, Boston and You! 13 Sept 2019 </w:t>
      </w:r>
      <w:r w:rsidRPr="00B67447">
        <w:rPr>
          <w:noProof/>
          <w:color w:val="7F7F7F"/>
          <w:u w:val="dotted" w:color="7F7F7F"/>
        </w:rPr>
        <w:t>https://turnaround.org/event/goodbye-delaware-impact-bankruptcy-venue-reform-business-boston-and-you</w:t>
      </w:r>
    </w:p>
    <w:p w14:paraId="3A851C1C" w14:textId="77777777" w:rsidR="000754B9" w:rsidRDefault="000754B9">
      <w:pPr>
        <w:pStyle w:val="TOC4"/>
        <w:rPr>
          <w:rFonts w:asciiTheme="minorHAnsi" w:eastAsiaTheme="minorEastAsia" w:hAnsiTheme="minorHAnsi" w:cstheme="minorBidi"/>
          <w:noProof/>
          <w:sz w:val="24"/>
          <w:szCs w:val="24"/>
        </w:rPr>
      </w:pPr>
      <w:r w:rsidRPr="00B67447">
        <w:rPr>
          <w:noProof/>
          <w:u w:val="single"/>
        </w:rPr>
        <w:t>Prof. Laura Napoli Coordes 2015</w:t>
      </w:r>
      <w:r>
        <w:rPr>
          <w:noProof/>
        </w:rPr>
        <w:t xml:space="preserve"> (Visiting Assistant Professor, Sandra Day O'Connor College of Law, Arizona State University. J.D., University of Chicago Law School  ) VANDERBILT LAW REVIEW “ The Geography of Bankruptcy” </w:t>
      </w:r>
      <w:r w:rsidRPr="00B67447">
        <w:rPr>
          <w:noProof/>
          <w:color w:val="7F7F7F"/>
          <w:u w:val="dotted" w:color="7F7F7F"/>
        </w:rPr>
        <w:t>https://www.questia.com/library/journal/1P3-3634551381/the-geography-of-bankruptcy</w:t>
      </w:r>
    </w:p>
    <w:p w14:paraId="1F9442CE" w14:textId="77777777" w:rsidR="000754B9" w:rsidRDefault="000754B9">
      <w:pPr>
        <w:pStyle w:val="TOC4"/>
        <w:rPr>
          <w:rFonts w:asciiTheme="minorHAnsi" w:eastAsiaTheme="minorEastAsia" w:hAnsiTheme="minorHAnsi" w:cstheme="minorBidi"/>
          <w:noProof/>
          <w:sz w:val="24"/>
          <w:szCs w:val="24"/>
        </w:rPr>
      </w:pPr>
      <w:r w:rsidRPr="00B67447">
        <w:rPr>
          <w:noProof/>
          <w:u w:val="single"/>
        </w:rPr>
        <w:t xml:space="preserve">Patrick M. Birney, Michael R. Enright, Steven J. Boyajian and Travis R. Searles 2014 </w:t>
      </w:r>
      <w:r>
        <w:rPr>
          <w:noProof/>
        </w:rPr>
        <w:t xml:space="preserve">(attorneys with Robinson &amp; Cole law firm ) 29 July 2014 “Venue reform three years later“ </w:t>
      </w:r>
      <w:r w:rsidRPr="00B67447">
        <w:rPr>
          <w:noProof/>
          <w:color w:val="7F7F7F"/>
          <w:u w:val="dotted" w:color="7F7F7F"/>
        </w:rPr>
        <w:t>http://www.lexology.com/library/detail.aspx?g=230db10d-4519-4867-b055-016de5dee778</w:t>
      </w:r>
    </w:p>
    <w:p w14:paraId="15D38A24" w14:textId="77777777" w:rsidR="000754B9" w:rsidRDefault="000754B9">
      <w:pPr>
        <w:pStyle w:val="TOC4"/>
        <w:rPr>
          <w:rFonts w:asciiTheme="minorHAnsi" w:eastAsiaTheme="minorEastAsia" w:hAnsiTheme="minorHAnsi" w:cstheme="minorBidi"/>
          <w:noProof/>
          <w:sz w:val="24"/>
          <w:szCs w:val="24"/>
        </w:rPr>
      </w:pPr>
      <w:r w:rsidRPr="00B67447">
        <w:rPr>
          <w:noProof/>
          <w:u w:val="single"/>
        </w:rPr>
        <w:t>National Conference of Bankruptcy Judges 2018</w:t>
      </w:r>
      <w:r>
        <w:rPr>
          <w:noProof/>
        </w:rPr>
        <w:t xml:space="preserve">. (voluntary association of United States Bankruptcy Judges, comprised of approximately 82% of the nation’s active and recalled bankruptcy judges) NCBJ Special Committee on Venue: Report on Proposal for Revision of the </w:t>
      </w:r>
      <w:r>
        <w:rPr>
          <w:noProof/>
        </w:rPr>
        <w:lastRenderedPageBreak/>
        <w:t xml:space="preserve">Venue Statute in Commercial Bankruptcy Cases   27 Nov 2018 </w:t>
      </w:r>
      <w:r w:rsidRPr="00B67447">
        <w:rPr>
          <w:noProof/>
          <w:color w:val="7F7F7F"/>
          <w:u w:val="dotted" w:color="7F7F7F"/>
        </w:rPr>
        <w:t>https://cdn.ymaws.com/www.ncbj.org/resource/resmgr/docs_public/Venue_White_Paper_-_Final.pdf</w:t>
      </w:r>
    </w:p>
    <w:p w14:paraId="6F674E7B" w14:textId="77777777" w:rsidR="000754B9" w:rsidRDefault="000754B9">
      <w:pPr>
        <w:pStyle w:val="TOC4"/>
        <w:rPr>
          <w:rFonts w:asciiTheme="minorHAnsi" w:eastAsiaTheme="minorEastAsia" w:hAnsiTheme="minorHAnsi" w:cstheme="minorBidi"/>
          <w:noProof/>
          <w:sz w:val="24"/>
          <w:szCs w:val="24"/>
        </w:rPr>
      </w:pPr>
      <w:r w:rsidRPr="00B67447">
        <w:rPr>
          <w:noProof/>
          <w:u w:val="single"/>
        </w:rPr>
        <w:t>Judge Stephen Rhodes 2015</w:t>
      </w:r>
      <w:r>
        <w:rPr>
          <w:noProof/>
        </w:rPr>
        <w:t xml:space="preserve"> (30 years experience as a bankruptcy judge) WALL STREET JOURNAL 9 Feb 2015 “The Baffling Rejection of Venue Reform by the ABI Chapter 11 Reform Commission”  </w:t>
      </w:r>
      <w:r w:rsidRPr="00B67447">
        <w:rPr>
          <w:noProof/>
          <w:color w:val="7F7F7F"/>
          <w:u w:val="dotted" w:color="7F7F7F"/>
        </w:rPr>
        <w:t>http://blogs.wsj.com/bankruptcy/2015/02/09/the-baffling-rejection-of-venue-reform-by-the-abi-chapter-11-reform-commission/</w:t>
      </w:r>
    </w:p>
    <w:p w14:paraId="693AC8DB" w14:textId="77777777" w:rsidR="000754B9" w:rsidRDefault="000754B9">
      <w:pPr>
        <w:pStyle w:val="TOC4"/>
        <w:rPr>
          <w:rFonts w:asciiTheme="minorHAnsi" w:eastAsiaTheme="minorEastAsia" w:hAnsiTheme="minorHAnsi" w:cstheme="minorBidi"/>
          <w:noProof/>
          <w:sz w:val="24"/>
          <w:szCs w:val="24"/>
        </w:rPr>
      </w:pPr>
      <w:r w:rsidRPr="00B67447">
        <w:rPr>
          <w:noProof/>
          <w:u w:val="single"/>
        </w:rPr>
        <w:t>Judge Steven Rhodes 2013</w:t>
      </w:r>
      <w:r>
        <w:rPr>
          <w:noProof/>
        </w:rPr>
        <w:t xml:space="preserve">. (US Bankruptcy Judge, Eastern District of Michigan) 22 Nov 2013 statement to the ABI Commission to Study the Reform of Chapter 11 on Chapter 11 Venue </w:t>
      </w:r>
      <w:r w:rsidRPr="00B67447">
        <w:rPr>
          <w:noProof/>
          <w:color w:val="7F7F7F"/>
          <w:u w:val="dotted" w:color="7F7F7F"/>
        </w:rPr>
        <w:t>http://commission.abi.org/sites/default/files/statements/22nov2013/Rhodes-ABI-Commission.docx</w:t>
      </w:r>
    </w:p>
    <w:p w14:paraId="0145A650" w14:textId="77777777" w:rsidR="000754B9" w:rsidRDefault="000754B9">
      <w:pPr>
        <w:pStyle w:val="TOC4"/>
        <w:rPr>
          <w:rFonts w:asciiTheme="minorHAnsi" w:eastAsiaTheme="minorEastAsia" w:hAnsiTheme="minorHAnsi" w:cstheme="minorBidi"/>
          <w:noProof/>
          <w:sz w:val="24"/>
          <w:szCs w:val="24"/>
        </w:rPr>
      </w:pPr>
      <w:r w:rsidRPr="00B67447">
        <w:rPr>
          <w:noProof/>
          <w:u w:val="single"/>
        </w:rPr>
        <w:t>Prof. Lynn M. LoPucki  &amp; Prof. Joseph W. Doherty 2006</w:t>
      </w:r>
      <w:r>
        <w:rPr>
          <w:noProof/>
        </w:rPr>
        <w:t xml:space="preserve">. (LoPucki - Professor of Law at the UCLA School of Law. Doherty - Visiting Professor of Law at the Harvard Law School) UNIVERSITY OF CHICAGO LAW REVIEW, “Delaware Bankruptcy: Failure in the Ascendancy“ </w:t>
      </w:r>
      <w:r w:rsidRPr="00B67447">
        <w:rPr>
          <w:noProof/>
          <w:color w:val="7F7F7F"/>
          <w:u w:val="dotted" w:color="7F7F7F"/>
        </w:rPr>
        <w:t>https://lawreview.uchicago.edu/sites/lawreview.uchicago.edu/files/uploads/73.4/73_4_LoPucki_Doherty.pdf</w:t>
      </w:r>
    </w:p>
    <w:p w14:paraId="680A06C7" w14:textId="77777777" w:rsidR="000754B9" w:rsidRDefault="000754B9">
      <w:pPr>
        <w:pStyle w:val="TOC4"/>
        <w:rPr>
          <w:rFonts w:asciiTheme="minorHAnsi" w:eastAsiaTheme="minorEastAsia" w:hAnsiTheme="minorHAnsi" w:cstheme="minorBidi"/>
          <w:noProof/>
          <w:sz w:val="24"/>
          <w:szCs w:val="24"/>
        </w:rPr>
      </w:pPr>
      <w:r w:rsidRPr="00B67447">
        <w:rPr>
          <w:noProof/>
          <w:u w:val="single"/>
        </w:rPr>
        <w:t>Reuters news service 2014</w:t>
      </w:r>
      <w:r>
        <w:rPr>
          <w:noProof/>
        </w:rPr>
        <w:t xml:space="preserve"> (journalists Tom Hals and Nick Brown) 29 Apr 2014 Delaware messes with Texas, sparks fight over mega-bankruptcy </w:t>
      </w:r>
      <w:r w:rsidRPr="00B67447">
        <w:rPr>
          <w:noProof/>
          <w:color w:val="7F7F7F"/>
          <w:u w:val="dotted" w:color="7F7F7F"/>
        </w:rPr>
        <w:t>http://www.reuters.com/article/2014/04/29/efh-bankrkputcy-venue-idUSL2N0NL1VQ20140429</w:t>
      </w:r>
    </w:p>
    <w:p w14:paraId="5D7B46D0" w14:textId="77777777" w:rsidR="000754B9" w:rsidRDefault="000754B9">
      <w:pPr>
        <w:pStyle w:val="TOC4"/>
        <w:rPr>
          <w:rFonts w:asciiTheme="minorHAnsi" w:eastAsiaTheme="minorEastAsia" w:hAnsiTheme="minorHAnsi" w:cstheme="minorBidi"/>
          <w:noProof/>
          <w:sz w:val="24"/>
          <w:szCs w:val="24"/>
        </w:rPr>
      </w:pPr>
      <w:r w:rsidRPr="00B67447">
        <w:rPr>
          <w:noProof/>
          <w:u w:val="single"/>
        </w:rPr>
        <w:t>Prof. Lynn M. LoPucki  &amp; Prof. Joseph W. Doherty 2006</w:t>
      </w:r>
      <w:r>
        <w:rPr>
          <w:noProof/>
        </w:rPr>
        <w:t xml:space="preserve">. (LoPucki - Professor of Law at the UCLA School of Law. Doherty - Visiting Professor of Law at the Harvard Law School) UNIVERSITY OF CHICAGO LAW REVIEW, “Delaware Bankruptcy: Failure in the Ascendancy“ </w:t>
      </w:r>
      <w:r w:rsidRPr="00B67447">
        <w:rPr>
          <w:noProof/>
          <w:color w:val="7F7F7F"/>
          <w:u w:val="dotted" w:color="7F7F7F"/>
        </w:rPr>
        <w:t>https://lawreview.uchicago.edu/sites/lawreview.uchicago.edu/files/uploads/73.4/73_4_LoPucki_Doherty.pdf</w:t>
      </w:r>
    </w:p>
    <w:p w14:paraId="5D587739" w14:textId="77777777" w:rsidR="000754B9" w:rsidRDefault="000754B9">
      <w:pPr>
        <w:pStyle w:val="TOC4"/>
        <w:rPr>
          <w:rFonts w:asciiTheme="minorHAnsi" w:eastAsiaTheme="minorEastAsia" w:hAnsiTheme="minorHAnsi" w:cstheme="minorBidi"/>
          <w:noProof/>
          <w:sz w:val="24"/>
          <w:szCs w:val="24"/>
        </w:rPr>
      </w:pPr>
      <w:r w:rsidRPr="00B67447">
        <w:rPr>
          <w:noProof/>
          <w:u w:val="single"/>
        </w:rPr>
        <w:t>Peter Califano 2011</w:t>
      </w:r>
      <w:r>
        <w:rPr>
          <w:noProof/>
        </w:rPr>
        <w:t xml:space="preserve"> (bankruptcy attorney at Cooper White &amp; Cooper in San Francisco where he chairs the bankruptcy and creditors' rights groups) 8 Sept 2011 HEARING BEFORE THE  SUBCOMMITTEE ON COURTS, COMMERCIAL AND ADMINISTRATIVE LAW OF THE COMMITTEE ON THE JUDICIARY, HOUSE OF REPRESENTATIVES, ONE HUNDRED TWELFTH CONGRESS FIRST SESSION ON H.R. 2533 </w:t>
      </w:r>
      <w:r w:rsidRPr="00B67447">
        <w:rPr>
          <w:noProof/>
          <w:color w:val="7F7F7F"/>
          <w:u w:val="dotted" w:color="7F7F7F"/>
        </w:rPr>
        <w:t>http://www.gpo.gov/fdsys/pkg/CHRG-112hhrg68185/html/CHRG-112hhrg68185.htm</w:t>
      </w:r>
    </w:p>
    <w:p w14:paraId="25E2A17F" w14:textId="77777777" w:rsidR="000754B9" w:rsidRDefault="000754B9">
      <w:pPr>
        <w:pStyle w:val="TOC4"/>
        <w:rPr>
          <w:rFonts w:asciiTheme="minorHAnsi" w:eastAsiaTheme="minorEastAsia" w:hAnsiTheme="minorHAnsi" w:cstheme="minorBidi"/>
          <w:noProof/>
          <w:sz w:val="24"/>
          <w:szCs w:val="24"/>
        </w:rPr>
      </w:pPr>
      <w:r w:rsidRPr="00B67447">
        <w:rPr>
          <w:noProof/>
          <w:u w:val="single"/>
        </w:rPr>
        <w:t>Rep. John Conyers 2011</w:t>
      </w:r>
      <w:r>
        <w:rPr>
          <w:noProof/>
        </w:rPr>
        <w:t xml:space="preserve"> (D-Michigan) 8 Sept 2011 HEARING BEFORE THE  SUBCOMMITTEE ON COURTS, COMMERCIAL AND ADMINISTRATIVE LAW OF THE COMMITTEE ON THE JUDICIARY, HOUSE OF REPRESENTATIVES, ONE HUNDRED TWELFTH CONGRESS FIRST SESSION ON H.R. 2533 </w:t>
      </w:r>
      <w:r w:rsidRPr="00B67447">
        <w:rPr>
          <w:noProof/>
          <w:color w:val="7F7F7F"/>
          <w:u w:val="dotted" w:color="7F7F7F"/>
        </w:rPr>
        <w:t>http://www.gpo.gov/fdsys/pkg/CHRG-112hhrg68185/html/CHRG-112hhrg68185.htm</w:t>
      </w:r>
    </w:p>
    <w:p w14:paraId="5D28EEF4" w14:textId="77777777" w:rsidR="000754B9" w:rsidRDefault="000754B9">
      <w:pPr>
        <w:pStyle w:val="TOC4"/>
        <w:rPr>
          <w:rFonts w:asciiTheme="minorHAnsi" w:eastAsiaTheme="minorEastAsia" w:hAnsiTheme="minorHAnsi" w:cstheme="minorBidi"/>
          <w:noProof/>
          <w:sz w:val="24"/>
          <w:szCs w:val="24"/>
        </w:rPr>
      </w:pPr>
      <w:r w:rsidRPr="00B67447">
        <w:rPr>
          <w:noProof/>
          <w:u w:val="single"/>
        </w:rPr>
        <w:t xml:space="preserve">Rep. Steve Cohen 2011 </w:t>
      </w:r>
      <w:r>
        <w:rPr>
          <w:noProof/>
        </w:rPr>
        <w:t xml:space="preserve">(D-Tenn.) 8 Sept 2011 HEARING BEFORE THE  SUBCOMMITTEE ON COURTS, COMMERCIAL AND ADMINISTRATIVE LAW OF THE COMMITTEE ON THE JUDICIARY, </w:t>
      </w:r>
      <w:r>
        <w:rPr>
          <w:noProof/>
        </w:rPr>
        <w:lastRenderedPageBreak/>
        <w:t xml:space="preserve">HOUSE OF REPRESENTATIVES, ONE HUNDRED TWELFTH CONGRESS FIRST SESSION ON H.R. 2533 </w:t>
      </w:r>
      <w:r w:rsidRPr="00B67447">
        <w:rPr>
          <w:noProof/>
          <w:color w:val="7F7F7F"/>
          <w:u w:val="dotted" w:color="7F7F7F"/>
        </w:rPr>
        <w:t>http://www.gpo.gov/fdsys/pkg/CHRG-112hhrg68185/html/CHRG-112hhrg68185.htm</w:t>
      </w:r>
    </w:p>
    <w:p w14:paraId="2C49A316" w14:textId="77777777" w:rsidR="000754B9" w:rsidRDefault="000754B9">
      <w:pPr>
        <w:pStyle w:val="TOC4"/>
        <w:rPr>
          <w:rFonts w:asciiTheme="minorHAnsi" w:eastAsiaTheme="minorEastAsia" w:hAnsiTheme="minorHAnsi" w:cstheme="minorBidi"/>
          <w:noProof/>
          <w:sz w:val="24"/>
          <w:szCs w:val="24"/>
        </w:rPr>
      </w:pPr>
      <w:r w:rsidRPr="00B67447">
        <w:rPr>
          <w:noProof/>
          <w:u w:val="single"/>
        </w:rPr>
        <w:t>Peter Califano 2011</w:t>
      </w:r>
      <w:r>
        <w:rPr>
          <w:noProof/>
        </w:rPr>
        <w:t xml:space="preserve"> (bankruptcy attorney at Cooper White &amp; Cooper in San Francisco where he chairs the bankruptcy and creditors' rights groups) 8 Sept 2011 HEARING BEFORE THE  SUBCOMMITTEE ON COURTS, COMMERCIAL AND ADMINISTRATIVE LAW OF THE COMMITTEE ON THE JUDICIARY, HOUSE OF REPRESENTATIVES, ONE HUNDRED TWELFTH CONGRESS FIRST SESSION ON H.R. 2533 </w:t>
      </w:r>
      <w:r w:rsidRPr="00B67447">
        <w:rPr>
          <w:noProof/>
          <w:color w:val="7F7F7F"/>
          <w:u w:val="dotted" w:color="7F7F7F"/>
        </w:rPr>
        <w:t>http://www.gpo.gov/fdsys/pkg/CHRG-112hhrg68185/html/CHRG-112hhrg68185.htm</w:t>
      </w:r>
    </w:p>
    <w:p w14:paraId="59F20625" w14:textId="77777777" w:rsidR="000754B9" w:rsidRDefault="000754B9">
      <w:pPr>
        <w:pStyle w:val="TOC4"/>
        <w:rPr>
          <w:rFonts w:asciiTheme="minorHAnsi" w:eastAsiaTheme="minorEastAsia" w:hAnsiTheme="minorHAnsi" w:cstheme="minorBidi"/>
          <w:noProof/>
          <w:sz w:val="24"/>
          <w:szCs w:val="24"/>
        </w:rPr>
      </w:pPr>
      <w:r w:rsidRPr="00B67447">
        <w:rPr>
          <w:noProof/>
          <w:u w:val="single"/>
        </w:rPr>
        <w:t>Honorable Frank J. Bailey 2011</w:t>
      </w:r>
      <w:r>
        <w:rPr>
          <w:noProof/>
        </w:rPr>
        <w:t xml:space="preserve"> (Chief Judge, Bankruptcy Court for the District of Massachusetts) 8 Sept 2011 HEARING BEFORE THE  SUBCOMMITTEE ON COURTS, COMMERCIAL AND ADMINISTRATIVE LAW OF THE COMMITTEE ON THE JUDICIARY, HOUSE OF REPRESENTATIVES, ONE HUNDRED TWELFTH CONGRESS FIRST SESSION ON H.R. 2533 </w:t>
      </w:r>
      <w:r w:rsidRPr="00B67447">
        <w:rPr>
          <w:noProof/>
          <w:color w:val="7F7F7F"/>
          <w:u w:val="dotted" w:color="7F7F7F"/>
        </w:rPr>
        <w:t>http://www.gpo.gov/fdsys/pkg/CHRG-112hhrg68185/html/CHRG-112hhrg68185.htm</w:t>
      </w:r>
    </w:p>
    <w:p w14:paraId="746F74DC" w14:textId="77777777" w:rsidR="000754B9" w:rsidRDefault="000754B9">
      <w:pPr>
        <w:pStyle w:val="TOC4"/>
        <w:rPr>
          <w:rFonts w:asciiTheme="minorHAnsi" w:eastAsiaTheme="minorEastAsia" w:hAnsiTheme="minorHAnsi" w:cstheme="minorBidi"/>
          <w:noProof/>
          <w:sz w:val="24"/>
          <w:szCs w:val="24"/>
        </w:rPr>
      </w:pPr>
      <w:r w:rsidRPr="00B67447">
        <w:rPr>
          <w:noProof/>
          <w:u w:val="single"/>
        </w:rPr>
        <w:t>Prof. Melissa Jacoby 2011</w:t>
      </w:r>
      <w:r>
        <w:rPr>
          <w:noProof/>
        </w:rPr>
        <w:t xml:space="preserve"> (professor law, Univ. of N. Carolina Law School) 8 Sept 2011 HEARING BEFORE THE  SUBCOMMITTEE ON COURTS, COMMERCIAL AND ADMINISTRATIVE LAW OF THE COMMITTEE ON THE JUDICIARY, HOUSE OF REPRESENTATIVES, ONE HUNDRED TWELFTH CONGRESS FIRST SESSION ON H.R. 2533 </w:t>
      </w:r>
      <w:r w:rsidRPr="00B67447">
        <w:rPr>
          <w:noProof/>
          <w:color w:val="7F7F7F"/>
          <w:u w:val="dotted" w:color="7F7F7F"/>
        </w:rPr>
        <w:t>http://www.gpo.gov/fdsys/pkg/CHRG-112hhrg68185/html/CHRG-112hhrg68185.htm</w:t>
      </w:r>
    </w:p>
    <w:p w14:paraId="1C067B5F" w14:textId="299C97AD" w:rsidR="000D7CFA" w:rsidRDefault="000754B9">
      <w:pPr>
        <w:pStyle w:val="Evidence"/>
      </w:pPr>
      <w:r>
        <w:rPr>
          <w:bCs w:val="0"/>
        </w:rPr>
        <w:fldChar w:fldCharType="end"/>
      </w:r>
    </w:p>
    <w:sectPr w:rsidR="000D7CFA" w:rsidSect="00EB317D">
      <w:headerReference w:type="default" r:id="rId82"/>
      <w:type w:val="continuous"/>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D4E93C" w14:textId="77777777" w:rsidR="001B3B79" w:rsidRDefault="001B3B79" w:rsidP="001D5FD6">
      <w:pPr>
        <w:spacing w:after="0" w:line="240" w:lineRule="auto"/>
      </w:pPr>
      <w:r>
        <w:separator/>
      </w:r>
    </w:p>
  </w:endnote>
  <w:endnote w:type="continuationSeparator" w:id="0">
    <w:p w14:paraId="2DAF0291" w14:textId="77777777" w:rsidR="001B3B79" w:rsidRDefault="001B3B79" w:rsidP="001D5F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JEEEA J+ Goudy">
    <w:altName w:val="Cambria"/>
    <w:panose1 w:val="020B0604020202020204"/>
    <w:charset w:val="00"/>
    <w:family w:val="roman"/>
    <w:notTrueType/>
    <w:pitch w:val="default"/>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TimesTen-Italic">
    <w:altName w:val="Cambria"/>
    <w:panose1 w:val="020B0604020202020204"/>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B9DAAA" w14:textId="77777777" w:rsidR="00AD7F7E" w:rsidRDefault="00AD7F7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3E8285" w14:textId="2726301B" w:rsidR="00AD7F7E" w:rsidRPr="00B964DA" w:rsidRDefault="00AD7F7E" w:rsidP="00AF1D3F">
    <w:pPr>
      <w:pStyle w:val="Footer"/>
      <w:tabs>
        <w:tab w:val="clear" w:pos="4320"/>
        <w:tab w:val="clear" w:pos="8640"/>
        <w:tab w:val="center" w:pos="4680"/>
        <w:tab w:val="right" w:pos="9360"/>
      </w:tabs>
    </w:pPr>
    <w:r>
      <w:rPr>
        <w:sz w:val="18"/>
        <w:szCs w:val="18"/>
      </w:rPr>
      <w:t>2019</w:t>
    </w:r>
    <w:r w:rsidRPr="0018486A">
      <w:rPr>
        <w:sz w:val="18"/>
        <w:szCs w:val="18"/>
      </w:rPr>
      <w:t xml:space="preserve"> © Monument Publishing</w:t>
    </w:r>
    <w:r>
      <w:tab/>
    </w:r>
    <w:r w:rsidRPr="0018486A">
      <w:rPr>
        <w:sz w:val="24"/>
        <w:szCs w:val="24"/>
      </w:rPr>
      <w:t xml:space="preserve">Page </w:t>
    </w:r>
    <w:r w:rsidRPr="0018486A">
      <w:rPr>
        <w:b w:val="0"/>
        <w:sz w:val="24"/>
        <w:szCs w:val="24"/>
      </w:rPr>
      <w:fldChar w:fldCharType="begin"/>
    </w:r>
    <w:r w:rsidRPr="0018486A">
      <w:rPr>
        <w:sz w:val="24"/>
        <w:szCs w:val="24"/>
      </w:rPr>
      <w:instrText xml:space="preserve"> PAGE </w:instrText>
    </w:r>
    <w:r w:rsidRPr="0018486A">
      <w:rPr>
        <w:b w:val="0"/>
        <w:sz w:val="24"/>
        <w:szCs w:val="24"/>
      </w:rPr>
      <w:fldChar w:fldCharType="separate"/>
    </w:r>
    <w:r>
      <w:rPr>
        <w:noProof/>
        <w:sz w:val="24"/>
        <w:szCs w:val="24"/>
      </w:rPr>
      <w:t>1</w:t>
    </w:r>
    <w:r w:rsidRPr="0018486A">
      <w:rPr>
        <w:b w:val="0"/>
        <w:sz w:val="24"/>
        <w:szCs w:val="24"/>
      </w:rPr>
      <w:fldChar w:fldCharType="end"/>
    </w:r>
    <w:r w:rsidRPr="0018486A">
      <w:rPr>
        <w:sz w:val="24"/>
        <w:szCs w:val="24"/>
      </w:rPr>
      <w:t xml:space="preserve"> of </w:t>
    </w:r>
    <w:r w:rsidRPr="0018486A">
      <w:rPr>
        <w:b w:val="0"/>
        <w:sz w:val="24"/>
        <w:szCs w:val="24"/>
      </w:rPr>
      <w:fldChar w:fldCharType="begin"/>
    </w:r>
    <w:r w:rsidRPr="0018486A">
      <w:rPr>
        <w:sz w:val="24"/>
        <w:szCs w:val="24"/>
      </w:rPr>
      <w:instrText xml:space="preserve"> NUMPAGES </w:instrText>
    </w:r>
    <w:r w:rsidRPr="0018486A">
      <w:rPr>
        <w:b w:val="0"/>
        <w:sz w:val="24"/>
        <w:szCs w:val="24"/>
      </w:rPr>
      <w:fldChar w:fldCharType="separate"/>
    </w:r>
    <w:r>
      <w:rPr>
        <w:noProof/>
        <w:sz w:val="24"/>
        <w:szCs w:val="24"/>
      </w:rPr>
      <w:t>19</w:t>
    </w:r>
    <w:r w:rsidRPr="0018486A">
      <w:rPr>
        <w:b w:val="0"/>
        <w:sz w:val="24"/>
        <w:szCs w:val="24"/>
      </w:rPr>
      <w:fldChar w:fldCharType="end"/>
    </w:r>
    <w:r>
      <w:tab/>
    </w:r>
    <w:r>
      <w:rPr>
        <w:sz w:val="18"/>
        <w:szCs w:val="18"/>
      </w:rPr>
      <w:t>Published 11/10/19</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051B9D" w14:textId="77777777" w:rsidR="00AD7F7E" w:rsidRDefault="00AD7F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46B925" w14:textId="77777777" w:rsidR="001B3B79" w:rsidRDefault="001B3B79" w:rsidP="001D5FD6">
      <w:pPr>
        <w:spacing w:after="0" w:line="240" w:lineRule="auto"/>
      </w:pPr>
      <w:r>
        <w:separator/>
      </w:r>
    </w:p>
  </w:footnote>
  <w:footnote w:type="continuationSeparator" w:id="0">
    <w:p w14:paraId="60DFB447" w14:textId="77777777" w:rsidR="001B3B79" w:rsidRDefault="001B3B79" w:rsidP="001D5FD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FE33C6" w14:textId="77777777" w:rsidR="00AD7F7E" w:rsidRDefault="00AD7F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3700AB" w14:textId="21ADCE16" w:rsidR="00AD7F7E" w:rsidRDefault="00AD7F7E" w:rsidP="00AF1D3F">
    <w:pPr>
      <w:pStyle w:val="Footer"/>
    </w:pPr>
    <w:r>
      <w:t>CASE: Bankruptcy Venue Reform Act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92E9F9" w14:textId="77777777" w:rsidR="00AD7F7E" w:rsidRDefault="00AD7F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E68817" w14:textId="3D37BE40" w:rsidR="00AD7F7E" w:rsidRPr="00F04C23" w:rsidRDefault="00AD7F7E" w:rsidP="00F04C23">
    <w:pPr>
      <w:pStyle w:val="Footer"/>
      <w:tabs>
        <w:tab w:val="clear" w:pos="4320"/>
        <w:tab w:val="clear" w:pos="8640"/>
        <w:tab w:val="center" w:pos="4680"/>
        <w:tab w:val="right" w:pos="9360"/>
      </w:tabs>
      <w:rPr>
        <w:b w:val="0"/>
        <w:smallCaps w:val="0"/>
      </w:rPr>
    </w:pPr>
    <w:r>
      <w:t>CASE: Bankruptcy Venue Reform Act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D28DBF" w14:textId="5E90FE42" w:rsidR="00AD7F7E" w:rsidRPr="00F04C23" w:rsidRDefault="00AD7F7E" w:rsidP="00F04C23">
    <w:pPr>
      <w:pStyle w:val="Footer"/>
      <w:tabs>
        <w:tab w:val="clear" w:pos="4320"/>
        <w:tab w:val="clear" w:pos="8640"/>
        <w:tab w:val="center" w:pos="4680"/>
        <w:tab w:val="right" w:pos="9360"/>
      </w:tabs>
      <w:rPr>
        <w:b w:val="0"/>
        <w:smallCaps w:val="0"/>
      </w:rPr>
    </w:pPr>
    <w:r>
      <w:t>2A evidence: Bankruptcy Venue Reform Act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D001BC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0F8A91A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554E46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D7BA77C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EEF4910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A68CB1C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650852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A7DAEED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E42E22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492E91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5E4737"/>
    <w:multiLevelType w:val="hybridMultilevel"/>
    <w:tmpl w:val="76889C1A"/>
    <w:lvl w:ilvl="0" w:tplc="0409000F">
      <w:start w:val="1"/>
      <w:numFmt w:val="decimal"/>
      <w:lvlText w:val="%1."/>
      <w:lvlJc w:val="left"/>
      <w:pPr>
        <w:ind w:left="1296" w:hanging="360"/>
      </w:pPr>
    </w:lvl>
    <w:lvl w:ilvl="1" w:tplc="04090019" w:tentative="1">
      <w:start w:val="1"/>
      <w:numFmt w:val="lowerLetter"/>
      <w:lvlText w:val="%2."/>
      <w:lvlJc w:val="left"/>
      <w:pPr>
        <w:ind w:left="2016" w:hanging="360"/>
      </w:pPr>
    </w:lvl>
    <w:lvl w:ilvl="2" w:tplc="0409001B" w:tentative="1">
      <w:start w:val="1"/>
      <w:numFmt w:val="lowerRoman"/>
      <w:lvlText w:val="%3."/>
      <w:lvlJc w:val="right"/>
      <w:pPr>
        <w:ind w:left="2736" w:hanging="180"/>
      </w:pPr>
    </w:lvl>
    <w:lvl w:ilvl="3" w:tplc="0409000F" w:tentative="1">
      <w:start w:val="1"/>
      <w:numFmt w:val="decimal"/>
      <w:lvlText w:val="%4."/>
      <w:lvlJc w:val="left"/>
      <w:pPr>
        <w:ind w:left="3456" w:hanging="360"/>
      </w:pPr>
    </w:lvl>
    <w:lvl w:ilvl="4" w:tplc="04090019" w:tentative="1">
      <w:start w:val="1"/>
      <w:numFmt w:val="lowerLetter"/>
      <w:lvlText w:val="%5."/>
      <w:lvlJc w:val="left"/>
      <w:pPr>
        <w:ind w:left="4176" w:hanging="360"/>
      </w:pPr>
    </w:lvl>
    <w:lvl w:ilvl="5" w:tplc="0409001B" w:tentative="1">
      <w:start w:val="1"/>
      <w:numFmt w:val="lowerRoman"/>
      <w:lvlText w:val="%6."/>
      <w:lvlJc w:val="right"/>
      <w:pPr>
        <w:ind w:left="4896" w:hanging="180"/>
      </w:pPr>
    </w:lvl>
    <w:lvl w:ilvl="6" w:tplc="0409000F" w:tentative="1">
      <w:start w:val="1"/>
      <w:numFmt w:val="decimal"/>
      <w:lvlText w:val="%7."/>
      <w:lvlJc w:val="left"/>
      <w:pPr>
        <w:ind w:left="5616" w:hanging="360"/>
      </w:pPr>
    </w:lvl>
    <w:lvl w:ilvl="7" w:tplc="04090019" w:tentative="1">
      <w:start w:val="1"/>
      <w:numFmt w:val="lowerLetter"/>
      <w:lvlText w:val="%8."/>
      <w:lvlJc w:val="left"/>
      <w:pPr>
        <w:ind w:left="6336" w:hanging="360"/>
      </w:pPr>
    </w:lvl>
    <w:lvl w:ilvl="8" w:tplc="0409001B" w:tentative="1">
      <w:start w:val="1"/>
      <w:numFmt w:val="lowerRoman"/>
      <w:lvlText w:val="%9."/>
      <w:lvlJc w:val="right"/>
      <w:pPr>
        <w:ind w:left="7056" w:hanging="180"/>
      </w:pPr>
    </w:lvl>
  </w:abstractNum>
  <w:abstractNum w:abstractNumId="11" w15:restartNumberingAfterBreak="0">
    <w:nsid w:val="10BC3F0C"/>
    <w:multiLevelType w:val="hybridMultilevel"/>
    <w:tmpl w:val="E312B8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3751ED6"/>
    <w:multiLevelType w:val="hybridMultilevel"/>
    <w:tmpl w:val="FE8CF494"/>
    <w:lvl w:ilvl="0" w:tplc="6C1A9224">
      <w:start w:val="1"/>
      <w:numFmt w:val="decimal"/>
      <w:lvlText w:val="%1."/>
      <w:lvlJc w:val="left"/>
      <w:pPr>
        <w:ind w:left="936" w:hanging="360"/>
      </w:pPr>
      <w:rPr>
        <w:rFonts w:hint="default"/>
      </w:r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3" w15:restartNumberingAfterBreak="0">
    <w:nsid w:val="14814AAD"/>
    <w:multiLevelType w:val="multilevel"/>
    <w:tmpl w:val="065063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57D21C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0620AC6"/>
    <w:multiLevelType w:val="hybridMultilevel"/>
    <w:tmpl w:val="868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6344101"/>
    <w:multiLevelType w:val="hybridMultilevel"/>
    <w:tmpl w:val="FF004430"/>
    <w:lvl w:ilvl="0" w:tplc="0409000F">
      <w:start w:val="1"/>
      <w:numFmt w:val="decimal"/>
      <w:lvlText w:val="%1."/>
      <w:lvlJc w:val="left"/>
      <w:pPr>
        <w:ind w:left="1008" w:hanging="360"/>
      </w:p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7" w15:restartNumberingAfterBreak="0">
    <w:nsid w:val="44E430AC"/>
    <w:multiLevelType w:val="multilevel"/>
    <w:tmpl w:val="DEB8DA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645161D"/>
    <w:multiLevelType w:val="multilevel"/>
    <w:tmpl w:val="11903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A124F8E"/>
    <w:multiLevelType w:val="hybridMultilevel"/>
    <w:tmpl w:val="BBECB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D057BCD"/>
    <w:multiLevelType w:val="hybridMultilevel"/>
    <w:tmpl w:val="61462E5C"/>
    <w:lvl w:ilvl="0" w:tplc="ED267A76">
      <w:start w:val="1"/>
      <w:numFmt w:val="decimal"/>
      <w:pStyle w:val="TOC4"/>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9067290"/>
    <w:multiLevelType w:val="multilevel"/>
    <w:tmpl w:val="AC0E462C"/>
    <w:lvl w:ilvl="0">
      <w:start w:val="1"/>
      <w:numFmt w:val="bullet"/>
      <w:lvlText w:val=""/>
      <w:lvlJc w:val="left"/>
      <w:pPr>
        <w:ind w:left="1296" w:hanging="360"/>
      </w:pPr>
      <w:rPr>
        <w:rFonts w:ascii="Symbol" w:hAnsi="Symbol" w:hint="default"/>
      </w:rPr>
    </w:lvl>
    <w:lvl w:ilvl="1">
      <w:start w:val="1"/>
      <w:numFmt w:val="bullet"/>
      <w:lvlText w:val="o"/>
      <w:lvlJc w:val="left"/>
      <w:pPr>
        <w:ind w:left="2016" w:hanging="360"/>
      </w:pPr>
      <w:rPr>
        <w:rFonts w:ascii="Courier New" w:hAnsi="Courier New" w:hint="default"/>
      </w:rPr>
    </w:lvl>
    <w:lvl w:ilvl="2">
      <w:start w:val="1"/>
      <w:numFmt w:val="bullet"/>
      <w:lvlText w:val=""/>
      <w:lvlJc w:val="left"/>
      <w:pPr>
        <w:ind w:left="2736" w:hanging="360"/>
      </w:pPr>
      <w:rPr>
        <w:rFonts w:ascii="Wingdings" w:hAnsi="Wingdings" w:hint="default"/>
      </w:rPr>
    </w:lvl>
    <w:lvl w:ilvl="3">
      <w:start w:val="1"/>
      <w:numFmt w:val="bullet"/>
      <w:lvlText w:val=""/>
      <w:lvlJc w:val="left"/>
      <w:pPr>
        <w:ind w:left="3456" w:hanging="360"/>
      </w:pPr>
      <w:rPr>
        <w:rFonts w:ascii="Symbol" w:hAnsi="Symbol" w:hint="default"/>
      </w:rPr>
    </w:lvl>
    <w:lvl w:ilvl="4">
      <w:start w:val="1"/>
      <w:numFmt w:val="bullet"/>
      <w:lvlText w:val="o"/>
      <w:lvlJc w:val="left"/>
      <w:pPr>
        <w:ind w:left="4176" w:hanging="360"/>
      </w:pPr>
      <w:rPr>
        <w:rFonts w:ascii="Courier New" w:hAnsi="Courier New" w:hint="default"/>
      </w:rPr>
    </w:lvl>
    <w:lvl w:ilvl="5">
      <w:start w:val="1"/>
      <w:numFmt w:val="bullet"/>
      <w:lvlText w:val=""/>
      <w:lvlJc w:val="left"/>
      <w:pPr>
        <w:ind w:left="4896" w:hanging="360"/>
      </w:pPr>
      <w:rPr>
        <w:rFonts w:ascii="Wingdings" w:hAnsi="Wingdings" w:hint="default"/>
      </w:rPr>
    </w:lvl>
    <w:lvl w:ilvl="6">
      <w:start w:val="1"/>
      <w:numFmt w:val="bullet"/>
      <w:lvlText w:val=""/>
      <w:lvlJc w:val="left"/>
      <w:pPr>
        <w:ind w:left="5616" w:hanging="360"/>
      </w:pPr>
      <w:rPr>
        <w:rFonts w:ascii="Symbol" w:hAnsi="Symbol" w:hint="default"/>
      </w:rPr>
    </w:lvl>
    <w:lvl w:ilvl="7">
      <w:start w:val="1"/>
      <w:numFmt w:val="bullet"/>
      <w:lvlText w:val="o"/>
      <w:lvlJc w:val="left"/>
      <w:pPr>
        <w:ind w:left="6336" w:hanging="360"/>
      </w:pPr>
      <w:rPr>
        <w:rFonts w:ascii="Courier New" w:hAnsi="Courier New" w:hint="default"/>
      </w:rPr>
    </w:lvl>
    <w:lvl w:ilvl="8">
      <w:start w:val="1"/>
      <w:numFmt w:val="bullet"/>
      <w:lvlText w:val=""/>
      <w:lvlJc w:val="left"/>
      <w:pPr>
        <w:ind w:left="7056" w:hanging="360"/>
      </w:pPr>
      <w:rPr>
        <w:rFonts w:ascii="Wingdings" w:hAnsi="Wingdings" w:hint="default"/>
      </w:rPr>
    </w:lvl>
  </w:abstractNum>
  <w:abstractNum w:abstractNumId="22" w15:restartNumberingAfterBreak="0">
    <w:nsid w:val="616C3C24"/>
    <w:multiLevelType w:val="multilevel"/>
    <w:tmpl w:val="F23EC2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8584650"/>
    <w:multiLevelType w:val="hybridMultilevel"/>
    <w:tmpl w:val="C40EF3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A187565"/>
    <w:multiLevelType w:val="multilevel"/>
    <w:tmpl w:val="F378D4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717F743B"/>
    <w:multiLevelType w:val="hybridMultilevel"/>
    <w:tmpl w:val="AB3EE570"/>
    <w:lvl w:ilvl="0" w:tplc="A36CEC38">
      <w:start w:val="1"/>
      <w:numFmt w:val="decimal"/>
      <w:pStyle w:val="Case"/>
      <w:lvlText w:val="%1."/>
      <w:lvlJc w:val="left"/>
      <w:pPr>
        <w:ind w:left="576" w:hanging="28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551038D"/>
    <w:multiLevelType w:val="multilevel"/>
    <w:tmpl w:val="B358EC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77345528"/>
    <w:multiLevelType w:val="hybridMultilevel"/>
    <w:tmpl w:val="AC0E462C"/>
    <w:lvl w:ilvl="0" w:tplc="8424EEF6">
      <w:start w:val="1"/>
      <w:numFmt w:val="bullet"/>
      <w:lvlText w:val=""/>
      <w:lvlJc w:val="left"/>
      <w:pPr>
        <w:ind w:left="1296" w:hanging="360"/>
      </w:pPr>
      <w:rPr>
        <w:rFonts w:ascii="Symbol" w:hAnsi="Symbol" w:hint="default"/>
      </w:rPr>
    </w:lvl>
    <w:lvl w:ilvl="1" w:tplc="04090003" w:tentative="1">
      <w:start w:val="1"/>
      <w:numFmt w:val="bullet"/>
      <w:lvlText w:val="o"/>
      <w:lvlJc w:val="left"/>
      <w:pPr>
        <w:ind w:left="2016" w:hanging="360"/>
      </w:pPr>
      <w:rPr>
        <w:rFonts w:ascii="Courier New" w:hAnsi="Courier New" w:hint="default"/>
      </w:rPr>
    </w:lvl>
    <w:lvl w:ilvl="2" w:tplc="04090005" w:tentative="1">
      <w:start w:val="1"/>
      <w:numFmt w:val="bullet"/>
      <w:lvlText w:val=""/>
      <w:lvlJc w:val="left"/>
      <w:pPr>
        <w:ind w:left="2736" w:hanging="360"/>
      </w:pPr>
      <w:rPr>
        <w:rFonts w:ascii="Wingdings" w:hAnsi="Wingdings" w:hint="default"/>
      </w:rPr>
    </w:lvl>
    <w:lvl w:ilvl="3" w:tplc="04090001" w:tentative="1">
      <w:start w:val="1"/>
      <w:numFmt w:val="bullet"/>
      <w:lvlText w:val=""/>
      <w:lvlJc w:val="left"/>
      <w:pPr>
        <w:ind w:left="3456" w:hanging="360"/>
      </w:pPr>
      <w:rPr>
        <w:rFonts w:ascii="Symbol" w:hAnsi="Symbol" w:hint="default"/>
      </w:rPr>
    </w:lvl>
    <w:lvl w:ilvl="4" w:tplc="04090003" w:tentative="1">
      <w:start w:val="1"/>
      <w:numFmt w:val="bullet"/>
      <w:lvlText w:val="o"/>
      <w:lvlJc w:val="left"/>
      <w:pPr>
        <w:ind w:left="4176" w:hanging="360"/>
      </w:pPr>
      <w:rPr>
        <w:rFonts w:ascii="Courier New" w:hAnsi="Courier New" w:hint="default"/>
      </w:rPr>
    </w:lvl>
    <w:lvl w:ilvl="5" w:tplc="04090005" w:tentative="1">
      <w:start w:val="1"/>
      <w:numFmt w:val="bullet"/>
      <w:lvlText w:val=""/>
      <w:lvlJc w:val="left"/>
      <w:pPr>
        <w:ind w:left="4896" w:hanging="360"/>
      </w:pPr>
      <w:rPr>
        <w:rFonts w:ascii="Wingdings" w:hAnsi="Wingdings" w:hint="default"/>
      </w:rPr>
    </w:lvl>
    <w:lvl w:ilvl="6" w:tplc="04090001" w:tentative="1">
      <w:start w:val="1"/>
      <w:numFmt w:val="bullet"/>
      <w:lvlText w:val=""/>
      <w:lvlJc w:val="left"/>
      <w:pPr>
        <w:ind w:left="5616" w:hanging="360"/>
      </w:pPr>
      <w:rPr>
        <w:rFonts w:ascii="Symbol" w:hAnsi="Symbol" w:hint="default"/>
      </w:rPr>
    </w:lvl>
    <w:lvl w:ilvl="7" w:tplc="04090003" w:tentative="1">
      <w:start w:val="1"/>
      <w:numFmt w:val="bullet"/>
      <w:lvlText w:val="o"/>
      <w:lvlJc w:val="left"/>
      <w:pPr>
        <w:ind w:left="6336" w:hanging="360"/>
      </w:pPr>
      <w:rPr>
        <w:rFonts w:ascii="Courier New" w:hAnsi="Courier New" w:hint="default"/>
      </w:rPr>
    </w:lvl>
    <w:lvl w:ilvl="8" w:tplc="04090005" w:tentative="1">
      <w:start w:val="1"/>
      <w:numFmt w:val="bullet"/>
      <w:lvlText w:val=""/>
      <w:lvlJc w:val="left"/>
      <w:pPr>
        <w:ind w:left="7056" w:hanging="360"/>
      </w:pPr>
      <w:rPr>
        <w:rFonts w:ascii="Wingdings" w:hAnsi="Wingdings" w:hint="default"/>
      </w:rPr>
    </w:lvl>
  </w:abstractNum>
  <w:abstractNum w:abstractNumId="28" w15:restartNumberingAfterBreak="0">
    <w:nsid w:val="77A65AC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7B44390B"/>
    <w:multiLevelType w:val="multilevel"/>
    <w:tmpl w:val="04090023"/>
    <w:lvl w:ilvl="0">
      <w:start w:val="1"/>
      <w:numFmt w:val="upperRoman"/>
      <w:pStyle w:val="Heading1"/>
      <w:lvlText w:val="Article %1."/>
      <w:lvlJc w:val="left"/>
      <w:pPr>
        <w:ind w:left="0" w:firstLine="0"/>
      </w:pPr>
    </w:lvl>
    <w:lvl w:ilvl="1">
      <w:start w:val="1"/>
      <w:numFmt w:val="decimalZero"/>
      <w:pStyle w:val="Heading2"/>
      <w:isLgl/>
      <w:lvlText w:val="Section %1.%2"/>
      <w:lvlJc w:val="left"/>
      <w:pPr>
        <w:ind w:left="0" w:firstLine="0"/>
      </w:pPr>
    </w:lvl>
    <w:lvl w:ilvl="2">
      <w:start w:val="1"/>
      <w:numFmt w:val="lowerLetter"/>
      <w:pStyle w:val="Heading3"/>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0" w15:restartNumberingAfterBreak="0">
    <w:nsid w:val="7D993C05"/>
    <w:multiLevelType w:val="multilevel"/>
    <w:tmpl w:val="72464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23"/>
  </w:num>
  <w:num w:numId="3">
    <w:abstractNumId w:val="11"/>
  </w:num>
  <w:num w:numId="4">
    <w:abstractNumId w:val="16"/>
  </w:num>
  <w:num w:numId="5">
    <w:abstractNumId w:val="28"/>
  </w:num>
  <w:num w:numId="6">
    <w:abstractNumId w:val="14"/>
  </w:num>
  <w:num w:numId="7">
    <w:abstractNumId w:val="29"/>
  </w:num>
  <w:num w:numId="8">
    <w:abstractNumId w:val="25"/>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27"/>
  </w:num>
  <w:num w:numId="20">
    <w:abstractNumId w:val="21"/>
  </w:num>
  <w:num w:numId="21">
    <w:abstractNumId w:val="15"/>
  </w:num>
  <w:num w:numId="22">
    <w:abstractNumId w:val="10"/>
  </w:num>
  <w:num w:numId="23">
    <w:abstractNumId w:val="12"/>
  </w:num>
  <w:num w:numId="24">
    <w:abstractNumId w:val="22"/>
  </w:num>
  <w:num w:numId="25">
    <w:abstractNumId w:val="30"/>
  </w:num>
  <w:num w:numId="26">
    <w:abstractNumId w:val="18"/>
  </w:num>
  <w:num w:numId="27">
    <w:abstractNumId w:val="13"/>
  </w:num>
  <w:num w:numId="28">
    <w:abstractNumId w:val="24"/>
  </w:num>
  <w:num w:numId="29">
    <w:abstractNumId w:val="26"/>
  </w:num>
  <w:num w:numId="30">
    <w:abstractNumId w:val="17"/>
  </w:num>
  <w:num w:numId="3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6"/>
  <w:displayBackgroundShape/>
  <w:proofState w:spelling="clean"/>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8674B"/>
    <w:rsid w:val="00000699"/>
    <w:rsid w:val="00005181"/>
    <w:rsid w:val="00005A60"/>
    <w:rsid w:val="00026F1D"/>
    <w:rsid w:val="00043D37"/>
    <w:rsid w:val="0006588B"/>
    <w:rsid w:val="00065C25"/>
    <w:rsid w:val="0006707D"/>
    <w:rsid w:val="000670A6"/>
    <w:rsid w:val="0007056F"/>
    <w:rsid w:val="00072E98"/>
    <w:rsid w:val="000754B9"/>
    <w:rsid w:val="0008580D"/>
    <w:rsid w:val="0008674B"/>
    <w:rsid w:val="00093E7D"/>
    <w:rsid w:val="00094B16"/>
    <w:rsid w:val="0009716A"/>
    <w:rsid w:val="00097BCC"/>
    <w:rsid w:val="000A4477"/>
    <w:rsid w:val="000A470C"/>
    <w:rsid w:val="000A525E"/>
    <w:rsid w:val="000A75C4"/>
    <w:rsid w:val="000B0848"/>
    <w:rsid w:val="000B0A7B"/>
    <w:rsid w:val="000B260C"/>
    <w:rsid w:val="000B4094"/>
    <w:rsid w:val="000B504C"/>
    <w:rsid w:val="000B6692"/>
    <w:rsid w:val="000C54F8"/>
    <w:rsid w:val="000C69A1"/>
    <w:rsid w:val="000C705C"/>
    <w:rsid w:val="000D3779"/>
    <w:rsid w:val="000D39B9"/>
    <w:rsid w:val="000D3D65"/>
    <w:rsid w:val="000D7CFA"/>
    <w:rsid w:val="000F546C"/>
    <w:rsid w:val="001046A9"/>
    <w:rsid w:val="00110739"/>
    <w:rsid w:val="00113D47"/>
    <w:rsid w:val="00124EA0"/>
    <w:rsid w:val="001253EC"/>
    <w:rsid w:val="001261D7"/>
    <w:rsid w:val="001313F9"/>
    <w:rsid w:val="001339D4"/>
    <w:rsid w:val="0013546D"/>
    <w:rsid w:val="00151515"/>
    <w:rsid w:val="0015488C"/>
    <w:rsid w:val="0018309C"/>
    <w:rsid w:val="00190F49"/>
    <w:rsid w:val="00196952"/>
    <w:rsid w:val="001A4F4B"/>
    <w:rsid w:val="001A6AF0"/>
    <w:rsid w:val="001B3B79"/>
    <w:rsid w:val="001C2323"/>
    <w:rsid w:val="001C41C7"/>
    <w:rsid w:val="001C7F45"/>
    <w:rsid w:val="001D2360"/>
    <w:rsid w:val="001D5FD6"/>
    <w:rsid w:val="001F0ADE"/>
    <w:rsid w:val="00200BD4"/>
    <w:rsid w:val="00236F83"/>
    <w:rsid w:val="00241B1D"/>
    <w:rsid w:val="00251E63"/>
    <w:rsid w:val="002558C7"/>
    <w:rsid w:val="00261F25"/>
    <w:rsid w:val="002640A5"/>
    <w:rsid w:val="00264E3D"/>
    <w:rsid w:val="00276437"/>
    <w:rsid w:val="00285587"/>
    <w:rsid w:val="00293302"/>
    <w:rsid w:val="002965FC"/>
    <w:rsid w:val="002A4E4D"/>
    <w:rsid w:val="002B28D2"/>
    <w:rsid w:val="002B4058"/>
    <w:rsid w:val="002B5BD4"/>
    <w:rsid w:val="002B739A"/>
    <w:rsid w:val="002C1829"/>
    <w:rsid w:val="002C5CDB"/>
    <w:rsid w:val="002C6956"/>
    <w:rsid w:val="002D1C32"/>
    <w:rsid w:val="002D1F9C"/>
    <w:rsid w:val="002D220A"/>
    <w:rsid w:val="002D653E"/>
    <w:rsid w:val="002E3061"/>
    <w:rsid w:val="002E5857"/>
    <w:rsid w:val="002E5FD6"/>
    <w:rsid w:val="002F0563"/>
    <w:rsid w:val="002F1C38"/>
    <w:rsid w:val="002F362E"/>
    <w:rsid w:val="003004D8"/>
    <w:rsid w:val="00302866"/>
    <w:rsid w:val="00303334"/>
    <w:rsid w:val="0030640C"/>
    <w:rsid w:val="00306B79"/>
    <w:rsid w:val="003113AF"/>
    <w:rsid w:val="00311727"/>
    <w:rsid w:val="00313DAC"/>
    <w:rsid w:val="003172F7"/>
    <w:rsid w:val="003174FA"/>
    <w:rsid w:val="00317DD2"/>
    <w:rsid w:val="003252AF"/>
    <w:rsid w:val="00334B6B"/>
    <w:rsid w:val="00344DB0"/>
    <w:rsid w:val="00347701"/>
    <w:rsid w:val="00353E53"/>
    <w:rsid w:val="00370B48"/>
    <w:rsid w:val="003804EC"/>
    <w:rsid w:val="00380948"/>
    <w:rsid w:val="003814FD"/>
    <w:rsid w:val="003873E3"/>
    <w:rsid w:val="003902E6"/>
    <w:rsid w:val="00394FA5"/>
    <w:rsid w:val="00396439"/>
    <w:rsid w:val="003A5C01"/>
    <w:rsid w:val="003A712C"/>
    <w:rsid w:val="003B320E"/>
    <w:rsid w:val="003D1A68"/>
    <w:rsid w:val="003E467B"/>
    <w:rsid w:val="003E478B"/>
    <w:rsid w:val="003E6942"/>
    <w:rsid w:val="003F2F42"/>
    <w:rsid w:val="004046F5"/>
    <w:rsid w:val="004051DC"/>
    <w:rsid w:val="00411901"/>
    <w:rsid w:val="00421F64"/>
    <w:rsid w:val="004224BB"/>
    <w:rsid w:val="00422C88"/>
    <w:rsid w:val="00425BFA"/>
    <w:rsid w:val="00427026"/>
    <w:rsid w:val="0043564A"/>
    <w:rsid w:val="0044174E"/>
    <w:rsid w:val="00447443"/>
    <w:rsid w:val="004522C1"/>
    <w:rsid w:val="00454B16"/>
    <w:rsid w:val="0045767E"/>
    <w:rsid w:val="004603AA"/>
    <w:rsid w:val="004639D6"/>
    <w:rsid w:val="00471DE6"/>
    <w:rsid w:val="004731D9"/>
    <w:rsid w:val="00477AD4"/>
    <w:rsid w:val="00482440"/>
    <w:rsid w:val="004916B2"/>
    <w:rsid w:val="004918F6"/>
    <w:rsid w:val="0049656E"/>
    <w:rsid w:val="004969CB"/>
    <w:rsid w:val="004A276D"/>
    <w:rsid w:val="004A52D6"/>
    <w:rsid w:val="004B38B3"/>
    <w:rsid w:val="004B46D0"/>
    <w:rsid w:val="004C63A0"/>
    <w:rsid w:val="004D554A"/>
    <w:rsid w:val="004E1776"/>
    <w:rsid w:val="004F011F"/>
    <w:rsid w:val="00501F49"/>
    <w:rsid w:val="005145AA"/>
    <w:rsid w:val="00521CE4"/>
    <w:rsid w:val="00524F2E"/>
    <w:rsid w:val="00540829"/>
    <w:rsid w:val="0054189A"/>
    <w:rsid w:val="00546210"/>
    <w:rsid w:val="005611AD"/>
    <w:rsid w:val="00565C56"/>
    <w:rsid w:val="00573DF6"/>
    <w:rsid w:val="00580BCD"/>
    <w:rsid w:val="00586297"/>
    <w:rsid w:val="005912D6"/>
    <w:rsid w:val="005928E2"/>
    <w:rsid w:val="00593922"/>
    <w:rsid w:val="005A01B9"/>
    <w:rsid w:val="005A72CF"/>
    <w:rsid w:val="005B462F"/>
    <w:rsid w:val="005B67C2"/>
    <w:rsid w:val="005B693E"/>
    <w:rsid w:val="005C1EC0"/>
    <w:rsid w:val="005D1E8A"/>
    <w:rsid w:val="005D594F"/>
    <w:rsid w:val="005E4CEB"/>
    <w:rsid w:val="005F7D93"/>
    <w:rsid w:val="00612DF3"/>
    <w:rsid w:val="00615D97"/>
    <w:rsid w:val="00616E3B"/>
    <w:rsid w:val="006265B0"/>
    <w:rsid w:val="006320D5"/>
    <w:rsid w:val="006359AF"/>
    <w:rsid w:val="006454BC"/>
    <w:rsid w:val="00646838"/>
    <w:rsid w:val="0065240C"/>
    <w:rsid w:val="006540DC"/>
    <w:rsid w:val="006549D2"/>
    <w:rsid w:val="006629BD"/>
    <w:rsid w:val="00672F63"/>
    <w:rsid w:val="00675C2E"/>
    <w:rsid w:val="00683A88"/>
    <w:rsid w:val="0069755F"/>
    <w:rsid w:val="006A2CBF"/>
    <w:rsid w:val="006A5945"/>
    <w:rsid w:val="006A70E6"/>
    <w:rsid w:val="006B3BD9"/>
    <w:rsid w:val="006B5C75"/>
    <w:rsid w:val="006B629D"/>
    <w:rsid w:val="006C457B"/>
    <w:rsid w:val="006C52AC"/>
    <w:rsid w:val="006C6302"/>
    <w:rsid w:val="006D30C4"/>
    <w:rsid w:val="006D3D2A"/>
    <w:rsid w:val="006D3F93"/>
    <w:rsid w:val="006D492C"/>
    <w:rsid w:val="006E01B4"/>
    <w:rsid w:val="006E03C9"/>
    <w:rsid w:val="006E09E6"/>
    <w:rsid w:val="006F0A91"/>
    <w:rsid w:val="006F3412"/>
    <w:rsid w:val="00700114"/>
    <w:rsid w:val="00703607"/>
    <w:rsid w:val="00704571"/>
    <w:rsid w:val="0071203C"/>
    <w:rsid w:val="00713968"/>
    <w:rsid w:val="00720189"/>
    <w:rsid w:val="00723B68"/>
    <w:rsid w:val="0072413B"/>
    <w:rsid w:val="007254F4"/>
    <w:rsid w:val="00730059"/>
    <w:rsid w:val="00731A7B"/>
    <w:rsid w:val="00732989"/>
    <w:rsid w:val="0073488F"/>
    <w:rsid w:val="00737320"/>
    <w:rsid w:val="00744B8F"/>
    <w:rsid w:val="007454E8"/>
    <w:rsid w:val="00751391"/>
    <w:rsid w:val="0075587A"/>
    <w:rsid w:val="00756E9F"/>
    <w:rsid w:val="00757B32"/>
    <w:rsid w:val="00766BAD"/>
    <w:rsid w:val="0077385B"/>
    <w:rsid w:val="007810C0"/>
    <w:rsid w:val="007863FC"/>
    <w:rsid w:val="00794E5A"/>
    <w:rsid w:val="007A38D2"/>
    <w:rsid w:val="007A45A1"/>
    <w:rsid w:val="007B1A56"/>
    <w:rsid w:val="007B39AF"/>
    <w:rsid w:val="007B4BA3"/>
    <w:rsid w:val="007C07E9"/>
    <w:rsid w:val="007C548E"/>
    <w:rsid w:val="007C70E0"/>
    <w:rsid w:val="007D2883"/>
    <w:rsid w:val="007D43E7"/>
    <w:rsid w:val="007D7744"/>
    <w:rsid w:val="007F229D"/>
    <w:rsid w:val="008001BB"/>
    <w:rsid w:val="00801E3C"/>
    <w:rsid w:val="00830CAF"/>
    <w:rsid w:val="00831370"/>
    <w:rsid w:val="00844A8B"/>
    <w:rsid w:val="00847706"/>
    <w:rsid w:val="00862483"/>
    <w:rsid w:val="008640FF"/>
    <w:rsid w:val="008657E3"/>
    <w:rsid w:val="00867102"/>
    <w:rsid w:val="00872B1E"/>
    <w:rsid w:val="00874518"/>
    <w:rsid w:val="0088499C"/>
    <w:rsid w:val="00895B3E"/>
    <w:rsid w:val="008A3CDA"/>
    <w:rsid w:val="008A7E94"/>
    <w:rsid w:val="008B09BE"/>
    <w:rsid w:val="008B0EB0"/>
    <w:rsid w:val="008C5CFF"/>
    <w:rsid w:val="008D7A8A"/>
    <w:rsid w:val="008E5E01"/>
    <w:rsid w:val="008E690D"/>
    <w:rsid w:val="008F2444"/>
    <w:rsid w:val="008F280A"/>
    <w:rsid w:val="0090318D"/>
    <w:rsid w:val="009102C0"/>
    <w:rsid w:val="00910607"/>
    <w:rsid w:val="00910B4E"/>
    <w:rsid w:val="0091551D"/>
    <w:rsid w:val="009155C3"/>
    <w:rsid w:val="0092592E"/>
    <w:rsid w:val="0093037B"/>
    <w:rsid w:val="00930FF2"/>
    <w:rsid w:val="00932C8D"/>
    <w:rsid w:val="00934196"/>
    <w:rsid w:val="00935711"/>
    <w:rsid w:val="009446C4"/>
    <w:rsid w:val="00946BA9"/>
    <w:rsid w:val="00950F5B"/>
    <w:rsid w:val="009541D9"/>
    <w:rsid w:val="00956E0D"/>
    <w:rsid w:val="0096105E"/>
    <w:rsid w:val="009613D9"/>
    <w:rsid w:val="00963328"/>
    <w:rsid w:val="0096561C"/>
    <w:rsid w:val="00975D70"/>
    <w:rsid w:val="00994F27"/>
    <w:rsid w:val="009A2CF2"/>
    <w:rsid w:val="009B5DB2"/>
    <w:rsid w:val="009C23FF"/>
    <w:rsid w:val="009C3106"/>
    <w:rsid w:val="009D03AF"/>
    <w:rsid w:val="009D288B"/>
    <w:rsid w:val="009E4098"/>
    <w:rsid w:val="009F06D9"/>
    <w:rsid w:val="009F0C74"/>
    <w:rsid w:val="00A00679"/>
    <w:rsid w:val="00A17E82"/>
    <w:rsid w:val="00A25462"/>
    <w:rsid w:val="00A25F46"/>
    <w:rsid w:val="00A31F34"/>
    <w:rsid w:val="00A37DDC"/>
    <w:rsid w:val="00A37EB6"/>
    <w:rsid w:val="00A4439C"/>
    <w:rsid w:val="00A507C7"/>
    <w:rsid w:val="00A50852"/>
    <w:rsid w:val="00A53707"/>
    <w:rsid w:val="00A57F29"/>
    <w:rsid w:val="00A645F2"/>
    <w:rsid w:val="00A67533"/>
    <w:rsid w:val="00A6757D"/>
    <w:rsid w:val="00A67D19"/>
    <w:rsid w:val="00A75E4E"/>
    <w:rsid w:val="00A8093F"/>
    <w:rsid w:val="00A85151"/>
    <w:rsid w:val="00A87C7F"/>
    <w:rsid w:val="00A943FC"/>
    <w:rsid w:val="00A961A3"/>
    <w:rsid w:val="00AA06CB"/>
    <w:rsid w:val="00AA3CD8"/>
    <w:rsid w:val="00AB133F"/>
    <w:rsid w:val="00AB1BF2"/>
    <w:rsid w:val="00AB1D4D"/>
    <w:rsid w:val="00AB3973"/>
    <w:rsid w:val="00AC077F"/>
    <w:rsid w:val="00AC2340"/>
    <w:rsid w:val="00AC353A"/>
    <w:rsid w:val="00AC3C9D"/>
    <w:rsid w:val="00AC6E5A"/>
    <w:rsid w:val="00AD2212"/>
    <w:rsid w:val="00AD3A26"/>
    <w:rsid w:val="00AD7F7E"/>
    <w:rsid w:val="00AE1CE7"/>
    <w:rsid w:val="00AE5467"/>
    <w:rsid w:val="00AF03F1"/>
    <w:rsid w:val="00AF1D3F"/>
    <w:rsid w:val="00B05475"/>
    <w:rsid w:val="00B077AE"/>
    <w:rsid w:val="00B101DA"/>
    <w:rsid w:val="00B15E5D"/>
    <w:rsid w:val="00B16F3B"/>
    <w:rsid w:val="00B216B4"/>
    <w:rsid w:val="00B46D7F"/>
    <w:rsid w:val="00B62166"/>
    <w:rsid w:val="00B62D50"/>
    <w:rsid w:val="00B6434A"/>
    <w:rsid w:val="00B64F23"/>
    <w:rsid w:val="00B83537"/>
    <w:rsid w:val="00BB264F"/>
    <w:rsid w:val="00BB4EBE"/>
    <w:rsid w:val="00BC1FD0"/>
    <w:rsid w:val="00BC330F"/>
    <w:rsid w:val="00BC6B81"/>
    <w:rsid w:val="00BD3952"/>
    <w:rsid w:val="00BD5EC8"/>
    <w:rsid w:val="00BE085C"/>
    <w:rsid w:val="00BE31DE"/>
    <w:rsid w:val="00BE3904"/>
    <w:rsid w:val="00BF5042"/>
    <w:rsid w:val="00C00742"/>
    <w:rsid w:val="00C0437A"/>
    <w:rsid w:val="00C06A3F"/>
    <w:rsid w:val="00C06CD4"/>
    <w:rsid w:val="00C10858"/>
    <w:rsid w:val="00C21021"/>
    <w:rsid w:val="00C27994"/>
    <w:rsid w:val="00C37750"/>
    <w:rsid w:val="00C411A6"/>
    <w:rsid w:val="00C42CFB"/>
    <w:rsid w:val="00C43F08"/>
    <w:rsid w:val="00C56940"/>
    <w:rsid w:val="00C57216"/>
    <w:rsid w:val="00C60DE3"/>
    <w:rsid w:val="00C729B6"/>
    <w:rsid w:val="00C72A0E"/>
    <w:rsid w:val="00C7441E"/>
    <w:rsid w:val="00C77680"/>
    <w:rsid w:val="00C813E1"/>
    <w:rsid w:val="00C83ADE"/>
    <w:rsid w:val="00C906DC"/>
    <w:rsid w:val="00C936FD"/>
    <w:rsid w:val="00C972BC"/>
    <w:rsid w:val="00CA24B4"/>
    <w:rsid w:val="00CA3582"/>
    <w:rsid w:val="00CA61A4"/>
    <w:rsid w:val="00CB1171"/>
    <w:rsid w:val="00CB575D"/>
    <w:rsid w:val="00CB678F"/>
    <w:rsid w:val="00CC5C30"/>
    <w:rsid w:val="00CD2A66"/>
    <w:rsid w:val="00CE330E"/>
    <w:rsid w:val="00CE3F31"/>
    <w:rsid w:val="00CF4F45"/>
    <w:rsid w:val="00CF5E42"/>
    <w:rsid w:val="00D00676"/>
    <w:rsid w:val="00D04AFF"/>
    <w:rsid w:val="00D23BC1"/>
    <w:rsid w:val="00D47FBB"/>
    <w:rsid w:val="00D511A1"/>
    <w:rsid w:val="00D5263E"/>
    <w:rsid w:val="00D52C45"/>
    <w:rsid w:val="00D61ACA"/>
    <w:rsid w:val="00D72AE2"/>
    <w:rsid w:val="00D730AB"/>
    <w:rsid w:val="00D7561B"/>
    <w:rsid w:val="00D92C6F"/>
    <w:rsid w:val="00D93E69"/>
    <w:rsid w:val="00DB07E5"/>
    <w:rsid w:val="00DB249F"/>
    <w:rsid w:val="00DB2E8B"/>
    <w:rsid w:val="00DB3DDA"/>
    <w:rsid w:val="00DB415E"/>
    <w:rsid w:val="00DB5B27"/>
    <w:rsid w:val="00DB6570"/>
    <w:rsid w:val="00DB66BD"/>
    <w:rsid w:val="00DB7B94"/>
    <w:rsid w:val="00DC0670"/>
    <w:rsid w:val="00DC3094"/>
    <w:rsid w:val="00DC46E4"/>
    <w:rsid w:val="00DC701D"/>
    <w:rsid w:val="00DD1974"/>
    <w:rsid w:val="00DD663C"/>
    <w:rsid w:val="00DE4778"/>
    <w:rsid w:val="00DF1281"/>
    <w:rsid w:val="00DF50C7"/>
    <w:rsid w:val="00DF7D1F"/>
    <w:rsid w:val="00E0151F"/>
    <w:rsid w:val="00E017EE"/>
    <w:rsid w:val="00E038F4"/>
    <w:rsid w:val="00E05741"/>
    <w:rsid w:val="00E11AFC"/>
    <w:rsid w:val="00E24F85"/>
    <w:rsid w:val="00E328AD"/>
    <w:rsid w:val="00E32ECC"/>
    <w:rsid w:val="00E351BF"/>
    <w:rsid w:val="00E361A5"/>
    <w:rsid w:val="00E42C4F"/>
    <w:rsid w:val="00E4330C"/>
    <w:rsid w:val="00E43622"/>
    <w:rsid w:val="00E51A70"/>
    <w:rsid w:val="00E52C0E"/>
    <w:rsid w:val="00E53468"/>
    <w:rsid w:val="00E6412D"/>
    <w:rsid w:val="00E6481C"/>
    <w:rsid w:val="00E661F9"/>
    <w:rsid w:val="00E72B27"/>
    <w:rsid w:val="00E74B49"/>
    <w:rsid w:val="00E81136"/>
    <w:rsid w:val="00E93090"/>
    <w:rsid w:val="00E97D35"/>
    <w:rsid w:val="00EB317D"/>
    <w:rsid w:val="00EC21D1"/>
    <w:rsid w:val="00EC226E"/>
    <w:rsid w:val="00ED2663"/>
    <w:rsid w:val="00EE01CD"/>
    <w:rsid w:val="00EE0C11"/>
    <w:rsid w:val="00EE363B"/>
    <w:rsid w:val="00EE3E2F"/>
    <w:rsid w:val="00EF109B"/>
    <w:rsid w:val="00EF4890"/>
    <w:rsid w:val="00EF597C"/>
    <w:rsid w:val="00F00C0C"/>
    <w:rsid w:val="00F0159A"/>
    <w:rsid w:val="00F02239"/>
    <w:rsid w:val="00F04C23"/>
    <w:rsid w:val="00F06393"/>
    <w:rsid w:val="00F15988"/>
    <w:rsid w:val="00F20388"/>
    <w:rsid w:val="00F20C26"/>
    <w:rsid w:val="00F21652"/>
    <w:rsid w:val="00F2448E"/>
    <w:rsid w:val="00F272AD"/>
    <w:rsid w:val="00F32431"/>
    <w:rsid w:val="00F43973"/>
    <w:rsid w:val="00F43E2B"/>
    <w:rsid w:val="00F44E6A"/>
    <w:rsid w:val="00F47D00"/>
    <w:rsid w:val="00F54F14"/>
    <w:rsid w:val="00F55129"/>
    <w:rsid w:val="00F578DE"/>
    <w:rsid w:val="00F622BD"/>
    <w:rsid w:val="00F62473"/>
    <w:rsid w:val="00F63558"/>
    <w:rsid w:val="00F7723E"/>
    <w:rsid w:val="00F933C4"/>
    <w:rsid w:val="00F941EB"/>
    <w:rsid w:val="00F94B1B"/>
    <w:rsid w:val="00F9559E"/>
    <w:rsid w:val="00FA2A01"/>
    <w:rsid w:val="00FA41B5"/>
    <w:rsid w:val="00FA60FD"/>
    <w:rsid w:val="00FB0D2B"/>
    <w:rsid w:val="00FB1F74"/>
    <w:rsid w:val="00FC6B5A"/>
    <w:rsid w:val="00FC74DB"/>
    <w:rsid w:val="00FD47AA"/>
    <w:rsid w:val="00FE45F1"/>
    <w:rsid w:val="00FF0790"/>
    <w:rsid w:val="00FF704C"/>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E814D3F"/>
  <w15:docId w15:val="{CD058A4A-EC18-4B8A-97FE-2FAEAD22E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Mincho"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lsdException w:name="heading 3" w:uiPriority="0"/>
    <w:lsdException w:name="heading 4" w:uiPriority="0" w:qFormat="1"/>
    <w:lsdException w:name="heading 5" w:uiPriority="0" w:qFormat="1"/>
    <w:lsdException w:name="heading 6" w:uiPriority="0"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lsdException w:name="Intense Emphasis" w:uiPriority="66"/>
    <w:lsdException w:name="Subtle Reference" w:uiPriority="67"/>
    <w:lsdException w:name="Intense Reference" w:uiPriority="68"/>
    <w:lsdException w:name="Book Title" w:uiPriority="69"/>
    <w:lsdException w:name="Bibliography" w:semiHidden="1" w:uiPriority="70" w:unhideWhenUsed="1"/>
    <w:lsdException w:name="TOC Heading" w:semiHidden="1" w:uiPriority="7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1974"/>
    <w:pPr>
      <w:spacing w:after="200" w:line="276" w:lineRule="auto"/>
    </w:pPr>
    <w:rPr>
      <w:sz w:val="22"/>
      <w:szCs w:val="22"/>
    </w:rPr>
  </w:style>
  <w:style w:type="paragraph" w:styleId="Heading1">
    <w:name w:val="heading 1"/>
    <w:basedOn w:val="Normal1"/>
    <w:next w:val="Normal1"/>
    <w:link w:val="Heading1Char"/>
    <w:uiPriority w:val="9"/>
    <w:qFormat/>
    <w:rsid w:val="00862483"/>
    <w:pPr>
      <w:numPr>
        <w:numId w:val="7"/>
      </w:numPr>
      <w:spacing w:before="480" w:after="120"/>
      <w:outlineLvl w:val="0"/>
    </w:pPr>
    <w:rPr>
      <w:b/>
      <w:sz w:val="36"/>
    </w:rPr>
  </w:style>
  <w:style w:type="paragraph" w:styleId="Heading2">
    <w:name w:val="heading 2"/>
    <w:basedOn w:val="Normal1"/>
    <w:next w:val="Normal1"/>
    <w:link w:val="Heading2Char"/>
    <w:rsid w:val="00862483"/>
    <w:pPr>
      <w:numPr>
        <w:ilvl w:val="1"/>
        <w:numId w:val="7"/>
      </w:numPr>
      <w:spacing w:before="360" w:after="80"/>
      <w:outlineLvl w:val="1"/>
    </w:pPr>
    <w:rPr>
      <w:b/>
      <w:sz w:val="28"/>
    </w:rPr>
  </w:style>
  <w:style w:type="paragraph" w:styleId="Heading3">
    <w:name w:val="heading 3"/>
    <w:basedOn w:val="Normal1"/>
    <w:next w:val="Normal1"/>
    <w:link w:val="Heading3Char"/>
    <w:rsid w:val="00862483"/>
    <w:pPr>
      <w:numPr>
        <w:ilvl w:val="2"/>
        <w:numId w:val="7"/>
      </w:numPr>
      <w:spacing w:before="280" w:after="80"/>
      <w:outlineLvl w:val="2"/>
    </w:pPr>
    <w:rPr>
      <w:b/>
      <w:color w:val="666666"/>
      <w:sz w:val="24"/>
    </w:rPr>
  </w:style>
  <w:style w:type="paragraph" w:styleId="Heading4">
    <w:name w:val="heading 4"/>
    <w:basedOn w:val="Normal1"/>
    <w:next w:val="Normal1"/>
    <w:link w:val="Heading4Char"/>
    <w:qFormat/>
    <w:rsid w:val="00862483"/>
    <w:pPr>
      <w:numPr>
        <w:ilvl w:val="3"/>
        <w:numId w:val="7"/>
      </w:numPr>
      <w:spacing w:before="240" w:after="40"/>
      <w:outlineLvl w:val="3"/>
    </w:pPr>
    <w:rPr>
      <w:i/>
      <w:color w:val="666666"/>
    </w:rPr>
  </w:style>
  <w:style w:type="paragraph" w:styleId="Heading5">
    <w:name w:val="heading 5"/>
    <w:basedOn w:val="Normal1"/>
    <w:next w:val="Normal1"/>
    <w:link w:val="Heading5Char"/>
    <w:qFormat/>
    <w:rsid w:val="00862483"/>
    <w:pPr>
      <w:numPr>
        <w:ilvl w:val="4"/>
        <w:numId w:val="7"/>
      </w:numPr>
      <w:spacing w:before="220" w:after="40"/>
      <w:outlineLvl w:val="4"/>
    </w:pPr>
    <w:rPr>
      <w:b/>
      <w:color w:val="666666"/>
      <w:sz w:val="20"/>
    </w:rPr>
  </w:style>
  <w:style w:type="paragraph" w:styleId="Heading6">
    <w:name w:val="heading 6"/>
    <w:basedOn w:val="Normal1"/>
    <w:next w:val="Normal1"/>
    <w:link w:val="Heading6Char"/>
    <w:qFormat/>
    <w:rsid w:val="00862483"/>
    <w:pPr>
      <w:numPr>
        <w:ilvl w:val="5"/>
        <w:numId w:val="7"/>
      </w:numPr>
      <w:spacing w:before="200" w:after="40"/>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08674B"/>
    <w:pPr>
      <w:widowControl w:val="0"/>
      <w:spacing w:line="276" w:lineRule="auto"/>
      <w:contextualSpacing/>
    </w:pPr>
    <w:rPr>
      <w:rFonts w:ascii="Arial" w:eastAsia="Arial" w:hAnsi="Arial" w:cs="Arial"/>
      <w:color w:val="000000"/>
      <w:sz w:val="22"/>
      <w:szCs w:val="22"/>
    </w:rPr>
  </w:style>
  <w:style w:type="paragraph" w:styleId="Title">
    <w:name w:val="Title"/>
    <w:aliases w:val="Title 1"/>
    <w:basedOn w:val="Normal1"/>
    <w:next w:val="Normal1"/>
    <w:link w:val="TitleChar"/>
    <w:qFormat/>
    <w:rsid w:val="00F04C23"/>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paragraph" w:styleId="Subtitle">
    <w:name w:val="Subtitle"/>
    <w:basedOn w:val="Normal1"/>
    <w:next w:val="Normal1"/>
    <w:link w:val="SubtitleChar"/>
    <w:qFormat/>
    <w:rsid w:val="0008674B"/>
    <w:pPr>
      <w:spacing w:before="360" w:after="80"/>
    </w:pPr>
    <w:rPr>
      <w:rFonts w:ascii="Georgia" w:eastAsia="Georgia" w:hAnsi="Georgia" w:cs="Georgia"/>
      <w:i/>
      <w:color w:val="666666"/>
      <w:sz w:val="48"/>
    </w:rPr>
  </w:style>
  <w:style w:type="paragraph" w:customStyle="1" w:styleId="Contention1">
    <w:name w:val="Contention 1"/>
    <w:basedOn w:val="Normal"/>
    <w:qFormat/>
    <w:rsid w:val="003252AF"/>
    <w:pPr>
      <w:keepNext/>
      <w:keepLines/>
      <w:spacing w:line="240" w:lineRule="auto"/>
    </w:pPr>
    <w:rPr>
      <w:rFonts w:ascii="Times New Roman" w:eastAsia="Times New Roman" w:hAnsi="Times New Roman"/>
      <w:b/>
      <w:bCs/>
      <w:color w:val="000000"/>
      <w:sz w:val="20"/>
      <w:szCs w:val="20"/>
      <w:lang w:eastAsia="fr-FR"/>
    </w:rPr>
  </w:style>
  <w:style w:type="paragraph" w:customStyle="1" w:styleId="Evidence">
    <w:name w:val="Evidence"/>
    <w:basedOn w:val="Contention1"/>
    <w:link w:val="EvidenceChar"/>
    <w:qFormat/>
    <w:rsid w:val="004A276D"/>
    <w:pPr>
      <w:keepNext w:val="0"/>
      <w:ind w:left="288"/>
    </w:pPr>
    <w:rPr>
      <w:b w:val="0"/>
    </w:rPr>
  </w:style>
  <w:style w:type="character" w:customStyle="1" w:styleId="SubtleEmphasis1">
    <w:name w:val="Subtle Emphasis1"/>
    <w:aliases w:val="Citation"/>
    <w:uiPriority w:val="19"/>
    <w:rsid w:val="00380948"/>
    <w:rPr>
      <w:rFonts w:ascii="Times New Roman" w:hAnsi="Times New Roman"/>
      <w:i/>
      <w:iCs/>
      <w:color w:val="auto"/>
      <w:sz w:val="20"/>
    </w:rPr>
  </w:style>
  <w:style w:type="paragraph" w:styleId="NormalWeb">
    <w:name w:val="Normal (Web)"/>
    <w:basedOn w:val="Normal"/>
    <w:uiPriority w:val="99"/>
    <w:unhideWhenUsed/>
    <w:rsid w:val="000B0848"/>
    <w:pPr>
      <w:spacing w:before="100" w:beforeAutospacing="1" w:after="100" w:afterAutospacing="1" w:line="240" w:lineRule="auto"/>
    </w:pPr>
    <w:rPr>
      <w:rFonts w:ascii="Times New Roman" w:eastAsia="Times New Roman" w:hAnsi="Times New Roman"/>
      <w:sz w:val="24"/>
      <w:szCs w:val="24"/>
    </w:rPr>
  </w:style>
  <w:style w:type="character" w:customStyle="1" w:styleId="apple-converted-space">
    <w:name w:val="apple-converted-space"/>
    <w:basedOn w:val="DefaultParagraphFont"/>
    <w:rsid w:val="000B0848"/>
  </w:style>
  <w:style w:type="character" w:styleId="Hyperlink">
    <w:name w:val="Hyperlink"/>
    <w:uiPriority w:val="99"/>
    <w:unhideWhenUsed/>
    <w:rsid w:val="004A276D"/>
    <w:rPr>
      <w:color w:val="7F7F7F"/>
      <w:u w:val="dotted" w:color="7F7F7F"/>
    </w:rPr>
  </w:style>
  <w:style w:type="paragraph" w:customStyle="1" w:styleId="ColorfulList-Accent11">
    <w:name w:val="Colorful List - Accent 11"/>
    <w:aliases w:val="Citation2"/>
    <w:basedOn w:val="Normal"/>
    <w:next w:val="Evidence"/>
    <w:uiPriority w:val="34"/>
    <w:qFormat/>
    <w:rsid w:val="009A2CF2"/>
    <w:pPr>
      <w:ind w:left="720"/>
      <w:contextualSpacing/>
    </w:pPr>
    <w:rPr>
      <w:rFonts w:ascii="Times New Roman" w:hAnsi="Times New Roman"/>
      <w:i/>
      <w:sz w:val="20"/>
    </w:rPr>
  </w:style>
  <w:style w:type="paragraph" w:customStyle="1" w:styleId="Citation3">
    <w:name w:val="Citation3"/>
    <w:basedOn w:val="Evidence"/>
    <w:next w:val="Evidence"/>
    <w:qFormat/>
    <w:rsid w:val="00720189"/>
    <w:pPr>
      <w:keepNext/>
      <w:spacing w:after="120"/>
    </w:pPr>
    <w:rPr>
      <w:rFonts w:eastAsia="MS Mincho"/>
      <w:bCs w:val="0"/>
      <w:i/>
      <w:color w:val="auto"/>
      <w:szCs w:val="22"/>
      <w:lang w:eastAsia="en-US"/>
    </w:rPr>
  </w:style>
  <w:style w:type="character" w:customStyle="1" w:styleId="Heading1Char">
    <w:name w:val="Heading 1 Char"/>
    <w:link w:val="Heading1"/>
    <w:uiPriority w:val="9"/>
    <w:rsid w:val="00862483"/>
    <w:rPr>
      <w:rFonts w:ascii="Arial" w:eastAsia="Arial" w:hAnsi="Arial" w:cs="Arial"/>
      <w:b/>
      <w:color w:val="000000"/>
      <w:sz w:val="36"/>
    </w:rPr>
  </w:style>
  <w:style w:type="character" w:customStyle="1" w:styleId="pull-quote">
    <w:name w:val="pull-quote"/>
    <w:basedOn w:val="DefaultParagraphFont"/>
    <w:rsid w:val="006E03C9"/>
  </w:style>
  <w:style w:type="paragraph" w:styleId="BalloonText">
    <w:name w:val="Balloon Text"/>
    <w:basedOn w:val="Normal"/>
    <w:link w:val="BalloonTextChar"/>
    <w:uiPriority w:val="99"/>
    <w:semiHidden/>
    <w:unhideWhenUsed/>
    <w:rsid w:val="00A645F2"/>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645F2"/>
    <w:rPr>
      <w:rFonts w:ascii="Tahoma" w:hAnsi="Tahoma" w:cs="Tahoma"/>
      <w:sz w:val="16"/>
      <w:szCs w:val="16"/>
    </w:rPr>
  </w:style>
  <w:style w:type="character" w:customStyle="1" w:styleId="link">
    <w:name w:val="link"/>
    <w:basedOn w:val="DefaultParagraphFont"/>
    <w:rsid w:val="00F02239"/>
  </w:style>
  <w:style w:type="character" w:customStyle="1" w:styleId="at">
    <w:name w:val="at"/>
    <w:basedOn w:val="DefaultParagraphFont"/>
    <w:rsid w:val="004639D6"/>
  </w:style>
  <w:style w:type="character" w:customStyle="1" w:styleId="org">
    <w:name w:val="org"/>
    <w:basedOn w:val="DefaultParagraphFont"/>
    <w:rsid w:val="004639D6"/>
  </w:style>
  <w:style w:type="character" w:styleId="Emphasis">
    <w:name w:val="Emphasis"/>
    <w:uiPriority w:val="20"/>
    <w:qFormat/>
    <w:rsid w:val="001F0ADE"/>
    <w:rPr>
      <w:i/>
      <w:iCs/>
    </w:rPr>
  </w:style>
  <w:style w:type="paragraph" w:customStyle="1" w:styleId="Case">
    <w:name w:val="Case"/>
    <w:next w:val="Contention1"/>
    <w:qFormat/>
    <w:rsid w:val="004A276D"/>
    <w:pPr>
      <w:keepLines/>
      <w:numPr>
        <w:numId w:val="8"/>
      </w:numPr>
      <w:pBdr>
        <w:top w:val="single" w:sz="4" w:space="1" w:color="595959"/>
        <w:left w:val="single" w:sz="4" w:space="4" w:color="595959"/>
        <w:bottom w:val="single" w:sz="4" w:space="1" w:color="595959"/>
        <w:right w:val="single" w:sz="4" w:space="4" w:color="595959"/>
      </w:pBdr>
      <w:shd w:val="clear" w:color="auto" w:fill="E6E6E6"/>
      <w:spacing w:after="120" w:line="276" w:lineRule="auto"/>
    </w:pPr>
    <w:rPr>
      <w:rFonts w:ascii="Times New Roman" w:eastAsia="Times New Roman" w:hAnsi="Times New Roman"/>
      <w:bCs/>
      <w:color w:val="000000"/>
      <w:lang w:eastAsia="fr-FR"/>
    </w:rPr>
  </w:style>
  <w:style w:type="paragraph" w:customStyle="1" w:styleId="Constructive">
    <w:name w:val="Constructive"/>
    <w:qFormat/>
    <w:rsid w:val="004A276D"/>
    <w:pPr>
      <w:keepNext/>
      <w:spacing w:after="200" w:line="276" w:lineRule="auto"/>
    </w:pPr>
    <w:rPr>
      <w:rFonts w:ascii="Times New Roman" w:eastAsia="Times New Roman" w:hAnsi="Times New Roman"/>
      <w:bCs/>
      <w:color w:val="000000"/>
      <w:lang w:eastAsia="fr-FR"/>
    </w:rPr>
  </w:style>
  <w:style w:type="paragraph" w:customStyle="1" w:styleId="Contention2">
    <w:name w:val="Contention 2"/>
    <w:basedOn w:val="Contention1"/>
    <w:link w:val="Contention2Char"/>
    <w:qFormat/>
    <w:rsid w:val="00720189"/>
    <w:pPr>
      <w:spacing w:after="120"/>
      <w:ind w:left="144"/>
    </w:pPr>
  </w:style>
  <w:style w:type="paragraph" w:customStyle="1" w:styleId="Title2">
    <w:name w:val="Title 2"/>
    <w:basedOn w:val="Title"/>
    <w:rsid w:val="00720189"/>
    <w:pPr>
      <w:pageBreakBefore/>
    </w:pPr>
  </w:style>
  <w:style w:type="paragraph" w:styleId="TOC3">
    <w:name w:val="toc 3"/>
    <w:basedOn w:val="Normal"/>
    <w:next w:val="Normal"/>
    <w:autoRedefine/>
    <w:uiPriority w:val="39"/>
    <w:unhideWhenUsed/>
    <w:rsid w:val="006A2CBF"/>
    <w:pPr>
      <w:keepLines/>
      <w:tabs>
        <w:tab w:val="right" w:leader="dot" w:pos="9350"/>
      </w:tabs>
      <w:spacing w:after="0" w:line="240" w:lineRule="auto"/>
      <w:ind w:left="288"/>
    </w:pPr>
    <w:rPr>
      <w:rFonts w:ascii="Times New Roman" w:hAnsi="Times New Roman"/>
      <w:sz w:val="18"/>
    </w:rPr>
  </w:style>
  <w:style w:type="paragraph" w:styleId="Index1">
    <w:name w:val="index 1"/>
    <w:basedOn w:val="Normal"/>
    <w:next w:val="Normal"/>
    <w:autoRedefine/>
    <w:uiPriority w:val="99"/>
    <w:semiHidden/>
    <w:unhideWhenUsed/>
    <w:rsid w:val="00720189"/>
    <w:pPr>
      <w:spacing w:after="0" w:line="240" w:lineRule="auto"/>
      <w:ind w:left="220" w:hanging="220"/>
    </w:pPr>
  </w:style>
  <w:style w:type="paragraph" w:styleId="TOC1">
    <w:name w:val="toc 1"/>
    <w:basedOn w:val="Normal"/>
    <w:next w:val="Normal"/>
    <w:autoRedefine/>
    <w:uiPriority w:val="39"/>
    <w:unhideWhenUsed/>
    <w:rsid w:val="00C21021"/>
    <w:pPr>
      <w:tabs>
        <w:tab w:val="right" w:leader="dot" w:pos="9350"/>
      </w:tabs>
      <w:spacing w:before="200" w:after="100" w:line="240" w:lineRule="auto"/>
      <w:ind w:left="-288"/>
    </w:pPr>
    <w:rPr>
      <w:rFonts w:ascii="Times New Roman" w:hAnsi="Times New Roman"/>
      <w:b/>
    </w:rPr>
  </w:style>
  <w:style w:type="paragraph" w:styleId="TOC2">
    <w:name w:val="toc 2"/>
    <w:basedOn w:val="Normal"/>
    <w:next w:val="Normal"/>
    <w:autoRedefine/>
    <w:uiPriority w:val="39"/>
    <w:unhideWhenUsed/>
    <w:rsid w:val="006A2CBF"/>
    <w:pPr>
      <w:tabs>
        <w:tab w:val="right" w:leader="dot" w:pos="9346"/>
      </w:tabs>
      <w:spacing w:before="120" w:after="0"/>
      <w:ind w:left="216" w:hanging="216"/>
    </w:pPr>
    <w:rPr>
      <w:rFonts w:ascii="Times New Roman" w:hAnsi="Times New Roman"/>
      <w:sz w:val="20"/>
    </w:rPr>
  </w:style>
  <w:style w:type="paragraph" w:styleId="TOC4">
    <w:name w:val="toc 4"/>
    <w:basedOn w:val="Normal"/>
    <w:next w:val="Normal"/>
    <w:autoRedefine/>
    <w:uiPriority w:val="39"/>
    <w:unhideWhenUsed/>
    <w:rsid w:val="000B6692"/>
    <w:pPr>
      <w:numPr>
        <w:numId w:val="31"/>
      </w:numPr>
      <w:tabs>
        <w:tab w:val="right" w:leader="dot" w:pos="9350"/>
      </w:tabs>
    </w:pPr>
  </w:style>
  <w:style w:type="paragraph" w:styleId="TOC5">
    <w:name w:val="toc 5"/>
    <w:basedOn w:val="Normal"/>
    <w:next w:val="Normal"/>
    <w:autoRedefine/>
    <w:uiPriority w:val="39"/>
    <w:unhideWhenUsed/>
    <w:rsid w:val="00720189"/>
    <w:pPr>
      <w:ind w:left="880"/>
    </w:pPr>
  </w:style>
  <w:style w:type="paragraph" w:styleId="TOC6">
    <w:name w:val="toc 6"/>
    <w:basedOn w:val="Normal"/>
    <w:next w:val="Normal"/>
    <w:autoRedefine/>
    <w:uiPriority w:val="39"/>
    <w:unhideWhenUsed/>
    <w:rsid w:val="00720189"/>
    <w:pPr>
      <w:ind w:left="1100"/>
    </w:pPr>
  </w:style>
  <w:style w:type="paragraph" w:styleId="TOC7">
    <w:name w:val="toc 7"/>
    <w:basedOn w:val="Normal"/>
    <w:next w:val="Normal"/>
    <w:autoRedefine/>
    <w:uiPriority w:val="39"/>
    <w:unhideWhenUsed/>
    <w:rsid w:val="00720189"/>
    <w:pPr>
      <w:ind w:left="1320"/>
    </w:pPr>
  </w:style>
  <w:style w:type="paragraph" w:styleId="TOC8">
    <w:name w:val="toc 8"/>
    <w:basedOn w:val="Normal"/>
    <w:next w:val="Normal"/>
    <w:autoRedefine/>
    <w:uiPriority w:val="39"/>
    <w:unhideWhenUsed/>
    <w:rsid w:val="00720189"/>
    <w:pPr>
      <w:ind w:left="1540"/>
    </w:pPr>
  </w:style>
  <w:style w:type="paragraph" w:styleId="TOC9">
    <w:name w:val="toc 9"/>
    <w:basedOn w:val="Normal"/>
    <w:next w:val="Normal"/>
    <w:autoRedefine/>
    <w:uiPriority w:val="39"/>
    <w:unhideWhenUsed/>
    <w:rsid w:val="00720189"/>
    <w:pPr>
      <w:ind w:left="1760"/>
    </w:pPr>
  </w:style>
  <w:style w:type="paragraph" w:styleId="FootnoteText">
    <w:name w:val="footnote text"/>
    <w:basedOn w:val="Normal"/>
    <w:link w:val="FootnoteTextChar"/>
    <w:uiPriority w:val="99"/>
    <w:rsid w:val="001D5FD6"/>
    <w:pPr>
      <w:spacing w:after="0"/>
    </w:pPr>
    <w:rPr>
      <w:rFonts w:ascii="Arial" w:eastAsia="Arial" w:hAnsi="Arial" w:cs="Arial"/>
      <w:color w:val="000000"/>
      <w:sz w:val="20"/>
      <w:szCs w:val="20"/>
      <w:lang w:val="fr-FR" w:eastAsia="fr-FR"/>
    </w:rPr>
  </w:style>
  <w:style w:type="character" w:customStyle="1" w:styleId="FootnoteTextChar">
    <w:name w:val="Footnote Text Char"/>
    <w:basedOn w:val="DefaultParagraphFont"/>
    <w:link w:val="FootnoteText"/>
    <w:uiPriority w:val="99"/>
    <w:rsid w:val="001D5FD6"/>
    <w:rPr>
      <w:rFonts w:ascii="Arial" w:eastAsia="Arial" w:hAnsi="Arial" w:cs="Arial"/>
      <w:color w:val="000000"/>
      <w:lang w:val="fr-FR" w:eastAsia="fr-FR"/>
    </w:rPr>
  </w:style>
  <w:style w:type="character" w:styleId="FootnoteReference">
    <w:name w:val="footnote reference"/>
    <w:basedOn w:val="DefaultParagraphFont"/>
    <w:uiPriority w:val="99"/>
    <w:rsid w:val="001D5FD6"/>
    <w:rPr>
      <w:vertAlign w:val="superscript"/>
    </w:rPr>
  </w:style>
  <w:style w:type="paragraph" w:customStyle="1" w:styleId="Contention">
    <w:name w:val="Contention"/>
    <w:basedOn w:val="Normal"/>
    <w:link w:val="ContentionChar"/>
    <w:rsid w:val="00756E9F"/>
    <w:pPr>
      <w:keepNext/>
      <w:keepLines/>
      <w:spacing w:line="240" w:lineRule="auto"/>
    </w:pPr>
    <w:rPr>
      <w:rFonts w:ascii="Times New Roman" w:eastAsia="Times New Roman" w:hAnsi="Times New Roman"/>
      <w:b/>
      <w:bCs/>
      <w:color w:val="000000"/>
      <w:sz w:val="20"/>
      <w:szCs w:val="20"/>
      <w:lang w:eastAsia="fr-FR"/>
    </w:rPr>
  </w:style>
  <w:style w:type="character" w:styleId="Strong">
    <w:name w:val="Strong"/>
    <w:basedOn w:val="DefaultParagraphFont"/>
    <w:uiPriority w:val="22"/>
    <w:qFormat/>
    <w:rsid w:val="00DB5B27"/>
    <w:rPr>
      <w:b/>
      <w:bCs/>
    </w:rPr>
  </w:style>
  <w:style w:type="paragraph" w:styleId="Header">
    <w:name w:val="header"/>
    <w:basedOn w:val="Normal"/>
    <w:link w:val="HeaderChar"/>
    <w:uiPriority w:val="99"/>
    <w:unhideWhenUsed/>
    <w:rsid w:val="00DB66BD"/>
    <w:pPr>
      <w:tabs>
        <w:tab w:val="center" w:pos="4320"/>
        <w:tab w:val="right" w:pos="8640"/>
      </w:tabs>
      <w:spacing w:after="0" w:line="240" w:lineRule="auto"/>
    </w:pPr>
  </w:style>
  <w:style w:type="character" w:customStyle="1" w:styleId="HeaderChar">
    <w:name w:val="Header Char"/>
    <w:basedOn w:val="DefaultParagraphFont"/>
    <w:link w:val="Header"/>
    <w:uiPriority w:val="99"/>
    <w:rsid w:val="00DB66BD"/>
    <w:rPr>
      <w:sz w:val="22"/>
      <w:szCs w:val="22"/>
    </w:rPr>
  </w:style>
  <w:style w:type="paragraph" w:styleId="Footer">
    <w:name w:val="footer"/>
    <w:basedOn w:val="Normal"/>
    <w:link w:val="FooterChar"/>
    <w:uiPriority w:val="99"/>
    <w:unhideWhenUsed/>
    <w:rsid w:val="00AF1D3F"/>
    <w:pPr>
      <w:tabs>
        <w:tab w:val="center" w:pos="4320"/>
        <w:tab w:val="right" w:pos="8640"/>
      </w:tabs>
      <w:spacing w:after="0" w:line="240" w:lineRule="auto"/>
      <w:jc w:val="center"/>
    </w:pPr>
    <w:rPr>
      <w:rFonts w:ascii="Times New Roman" w:hAnsi="Times New Roman"/>
      <w:b/>
      <w:bCs/>
      <w:smallCaps/>
    </w:rPr>
  </w:style>
  <w:style w:type="character" w:customStyle="1" w:styleId="FooterChar">
    <w:name w:val="Footer Char"/>
    <w:basedOn w:val="DefaultParagraphFont"/>
    <w:link w:val="Footer"/>
    <w:uiPriority w:val="99"/>
    <w:rsid w:val="00AF1D3F"/>
    <w:rPr>
      <w:rFonts w:ascii="Times New Roman" w:hAnsi="Times New Roman"/>
      <w:b/>
      <w:bCs/>
      <w:smallCaps/>
      <w:sz w:val="22"/>
      <w:szCs w:val="22"/>
    </w:rPr>
  </w:style>
  <w:style w:type="paragraph" w:customStyle="1" w:styleId="Contention3">
    <w:name w:val="Contention 3"/>
    <w:basedOn w:val="Contention2"/>
    <w:qFormat/>
    <w:rsid w:val="00DB66BD"/>
    <w:pPr>
      <w:ind w:left="270"/>
    </w:pPr>
  </w:style>
  <w:style w:type="character" w:styleId="CommentReference">
    <w:name w:val="annotation reference"/>
    <w:basedOn w:val="DefaultParagraphFont"/>
    <w:uiPriority w:val="99"/>
    <w:semiHidden/>
    <w:unhideWhenUsed/>
    <w:rsid w:val="00501F49"/>
    <w:rPr>
      <w:sz w:val="18"/>
      <w:szCs w:val="18"/>
    </w:rPr>
  </w:style>
  <w:style w:type="paragraph" w:styleId="CommentText">
    <w:name w:val="annotation text"/>
    <w:basedOn w:val="Normal"/>
    <w:link w:val="CommentTextChar"/>
    <w:uiPriority w:val="99"/>
    <w:semiHidden/>
    <w:unhideWhenUsed/>
    <w:rsid w:val="00501F49"/>
    <w:pPr>
      <w:spacing w:line="240" w:lineRule="auto"/>
    </w:pPr>
    <w:rPr>
      <w:sz w:val="24"/>
      <w:szCs w:val="24"/>
    </w:rPr>
  </w:style>
  <w:style w:type="character" w:customStyle="1" w:styleId="CommentTextChar">
    <w:name w:val="Comment Text Char"/>
    <w:basedOn w:val="DefaultParagraphFont"/>
    <w:link w:val="CommentText"/>
    <w:uiPriority w:val="99"/>
    <w:semiHidden/>
    <w:rsid w:val="00501F49"/>
    <w:rPr>
      <w:sz w:val="24"/>
      <w:szCs w:val="24"/>
    </w:rPr>
  </w:style>
  <w:style w:type="paragraph" w:styleId="CommentSubject">
    <w:name w:val="annotation subject"/>
    <w:basedOn w:val="CommentText"/>
    <w:next w:val="CommentText"/>
    <w:link w:val="CommentSubjectChar"/>
    <w:uiPriority w:val="99"/>
    <w:semiHidden/>
    <w:unhideWhenUsed/>
    <w:rsid w:val="00501F49"/>
    <w:rPr>
      <w:b/>
      <w:bCs/>
      <w:sz w:val="20"/>
      <w:szCs w:val="20"/>
    </w:rPr>
  </w:style>
  <w:style w:type="character" w:customStyle="1" w:styleId="CommentSubjectChar">
    <w:name w:val="Comment Subject Char"/>
    <w:basedOn w:val="CommentTextChar"/>
    <w:link w:val="CommentSubject"/>
    <w:uiPriority w:val="99"/>
    <w:semiHidden/>
    <w:rsid w:val="00501F49"/>
    <w:rPr>
      <w:b/>
      <w:bCs/>
      <w:sz w:val="24"/>
      <w:szCs w:val="24"/>
    </w:rPr>
  </w:style>
  <w:style w:type="paragraph" w:customStyle="1" w:styleId="Normal10">
    <w:name w:val="Normal1"/>
    <w:rsid w:val="00AF1D3F"/>
    <w:pPr>
      <w:widowControl w:val="0"/>
      <w:spacing w:line="276" w:lineRule="auto"/>
      <w:contextualSpacing/>
    </w:pPr>
    <w:rPr>
      <w:rFonts w:ascii="Arial" w:eastAsia="Arial" w:hAnsi="Arial" w:cs="Arial"/>
      <w:color w:val="000000"/>
      <w:sz w:val="22"/>
      <w:szCs w:val="22"/>
    </w:rPr>
  </w:style>
  <w:style w:type="character" w:customStyle="1" w:styleId="TitleChar">
    <w:name w:val="Title Char"/>
    <w:aliases w:val="Title 1 Char"/>
    <w:basedOn w:val="DefaultParagraphFont"/>
    <w:link w:val="Title"/>
    <w:rsid w:val="00AF1D3F"/>
    <w:rPr>
      <w:rFonts w:ascii="Times New Roman" w:eastAsia="Arial" w:hAnsi="Times New Roman" w:cs="Arial"/>
      <w:b/>
      <w:bCs/>
      <w:smallCaps/>
      <w:color w:val="000000"/>
      <w:sz w:val="32"/>
      <w:szCs w:val="36"/>
      <w:shd w:val="clear" w:color="auto" w:fill="E6E6E6"/>
    </w:rPr>
  </w:style>
  <w:style w:type="character" w:styleId="FollowedHyperlink">
    <w:name w:val="FollowedHyperlink"/>
    <w:basedOn w:val="DefaultParagraphFont"/>
    <w:uiPriority w:val="99"/>
    <w:semiHidden/>
    <w:unhideWhenUsed/>
    <w:rsid w:val="00AF1D3F"/>
    <w:rPr>
      <w:color w:val="800080" w:themeColor="followedHyperlink"/>
      <w:u w:val="single"/>
    </w:rPr>
  </w:style>
  <w:style w:type="paragraph" w:customStyle="1" w:styleId="BB-Plan">
    <w:name w:val="BB-Plan"/>
    <w:basedOn w:val="BB-ConstructiveSpeech"/>
    <w:rsid w:val="00CD2A66"/>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CD2A66"/>
    <w:pPr>
      <w:tabs>
        <w:tab w:val="left" w:pos="360"/>
      </w:tabs>
      <w:spacing w:after="200"/>
      <w:ind w:left="-288"/>
    </w:pPr>
    <w:rPr>
      <w:rFonts w:ascii="Times New Roman" w:eastAsia="Times New Roman" w:hAnsi="Times New Roman"/>
    </w:rPr>
  </w:style>
  <w:style w:type="paragraph" w:customStyle="1" w:styleId="BlockTextChar">
    <w:name w:val="Block Text Char"/>
    <w:rsid w:val="00CD2A66"/>
    <w:pPr>
      <w:keepNext/>
      <w:spacing w:after="80"/>
      <w:ind w:left="-288"/>
    </w:pPr>
    <w:rPr>
      <w:rFonts w:ascii="Times New Roman" w:eastAsia="Times New Roman" w:hAnsi="Times New Roman"/>
      <w:b/>
    </w:rPr>
  </w:style>
  <w:style w:type="paragraph" w:customStyle="1" w:styleId="BB-Citation">
    <w:name w:val="BB-Citation"/>
    <w:rsid w:val="00CD2A66"/>
    <w:pPr>
      <w:keepNext/>
      <w:keepLines/>
      <w:spacing w:after="80"/>
    </w:pPr>
    <w:rPr>
      <w:rFonts w:ascii="Times New Roman" w:eastAsia="Times New Roman" w:hAnsi="Times New Roman"/>
      <w:i/>
    </w:rPr>
  </w:style>
  <w:style w:type="paragraph" w:customStyle="1" w:styleId="BB-Evidence">
    <w:name w:val="BB-Evidence"/>
    <w:link w:val="body3"/>
    <w:rsid w:val="00CD2A66"/>
    <w:pPr>
      <w:keepLines/>
      <w:spacing w:after="200"/>
      <w:jc w:val="both"/>
    </w:pPr>
    <w:rPr>
      <w:rFonts w:ascii="Times New Roman" w:eastAsia="Times New Roman" w:hAnsi="Times New Roman"/>
    </w:rPr>
  </w:style>
  <w:style w:type="character" w:customStyle="1" w:styleId="body3">
    <w:name w:val="body3"/>
    <w:basedOn w:val="DefaultParagraphFont"/>
    <w:link w:val="BB-Evidence"/>
    <w:rsid w:val="00CD2A66"/>
    <w:rPr>
      <w:rFonts w:ascii="Times New Roman" w:eastAsia="Times New Roman" w:hAnsi="Times New Roman"/>
    </w:rPr>
  </w:style>
  <w:style w:type="character" w:customStyle="1" w:styleId="BriefHeading2ACharChar">
    <w:name w:val="Brief Heading 2A Char Char"/>
    <w:basedOn w:val="DefaultParagraphFont"/>
    <w:link w:val="BB-ConstructiveSpeech"/>
    <w:rsid w:val="00CD2A66"/>
    <w:rPr>
      <w:rFonts w:ascii="Times New Roman" w:eastAsia="Times New Roman" w:hAnsi="Times New Roman"/>
    </w:rPr>
  </w:style>
  <w:style w:type="paragraph" w:customStyle="1" w:styleId="BriefHeading2A">
    <w:name w:val="Brief Heading 2A"/>
    <w:next w:val="Normal"/>
    <w:rsid w:val="00CD2A66"/>
    <w:pPr>
      <w:keepNext/>
      <w:pBdr>
        <w:top w:val="single" w:sz="18" w:space="1" w:color="auto"/>
        <w:bottom w:val="single" w:sz="4" w:space="1" w:color="auto"/>
      </w:pBdr>
      <w:spacing w:before="480" w:after="240"/>
      <w:jc w:val="center"/>
    </w:pPr>
    <w:rPr>
      <w:rFonts w:ascii="Times New Roman" w:eastAsia="Times New Roman" w:hAnsi="Times New Roman"/>
      <w:b/>
      <w:shadow/>
      <w:spacing w:val="20"/>
      <w:sz w:val="24"/>
    </w:rPr>
  </w:style>
  <w:style w:type="character" w:customStyle="1" w:styleId="A">
    <w:name w:val="A"/>
    <w:basedOn w:val="DefaultParagraphFont"/>
    <w:rsid w:val="00CD2A66"/>
    <w:rPr>
      <w:strike w:val="0"/>
      <w:u w:val="none"/>
    </w:rPr>
  </w:style>
  <w:style w:type="character" w:customStyle="1" w:styleId="ssens">
    <w:name w:val="ssens"/>
    <w:basedOn w:val="DefaultParagraphFont"/>
    <w:rsid w:val="00FE45F1"/>
  </w:style>
  <w:style w:type="character" w:customStyle="1" w:styleId="a0">
    <w:name w:val="a"/>
    <w:basedOn w:val="DefaultParagraphFont"/>
    <w:rsid w:val="00C43F08"/>
  </w:style>
  <w:style w:type="character" w:customStyle="1" w:styleId="l7">
    <w:name w:val="l7"/>
    <w:basedOn w:val="DefaultParagraphFont"/>
    <w:rsid w:val="00C43F08"/>
  </w:style>
  <w:style w:type="character" w:customStyle="1" w:styleId="l12">
    <w:name w:val="l12"/>
    <w:basedOn w:val="DefaultParagraphFont"/>
    <w:rsid w:val="00C43F08"/>
  </w:style>
  <w:style w:type="character" w:customStyle="1" w:styleId="l6">
    <w:name w:val="l6"/>
    <w:basedOn w:val="DefaultParagraphFont"/>
    <w:rsid w:val="00C43F08"/>
  </w:style>
  <w:style w:type="character" w:customStyle="1" w:styleId="l11">
    <w:name w:val="l11"/>
    <w:basedOn w:val="DefaultParagraphFont"/>
    <w:rsid w:val="00B15E5D"/>
  </w:style>
  <w:style w:type="character" w:customStyle="1" w:styleId="l9">
    <w:name w:val="l9"/>
    <w:basedOn w:val="DefaultParagraphFont"/>
    <w:rsid w:val="00B15E5D"/>
  </w:style>
  <w:style w:type="character" w:customStyle="1" w:styleId="l8">
    <w:name w:val="l8"/>
    <w:basedOn w:val="DefaultParagraphFont"/>
    <w:rsid w:val="00AB1BF2"/>
  </w:style>
  <w:style w:type="character" w:customStyle="1" w:styleId="l">
    <w:name w:val="l"/>
    <w:basedOn w:val="DefaultParagraphFont"/>
    <w:rsid w:val="002E5857"/>
  </w:style>
  <w:style w:type="character" w:customStyle="1" w:styleId="articletitle">
    <w:name w:val="articletitle"/>
    <w:basedOn w:val="DefaultParagraphFont"/>
    <w:rsid w:val="00482440"/>
  </w:style>
  <w:style w:type="paragraph" w:customStyle="1" w:styleId="zn-bodyparagraph">
    <w:name w:val="zn-body__paragraph"/>
    <w:basedOn w:val="Normal"/>
    <w:rsid w:val="00F578DE"/>
    <w:pPr>
      <w:spacing w:before="100" w:beforeAutospacing="1" w:after="100" w:afterAutospacing="1" w:line="240" w:lineRule="auto"/>
    </w:pPr>
    <w:rPr>
      <w:rFonts w:ascii="Times New Roman" w:eastAsia="Times New Roman" w:hAnsi="Times New Roman"/>
      <w:sz w:val="24"/>
      <w:szCs w:val="24"/>
    </w:rPr>
  </w:style>
  <w:style w:type="character" w:customStyle="1" w:styleId="EvidenceChar">
    <w:name w:val="Evidence Char"/>
    <w:basedOn w:val="DefaultParagraphFont"/>
    <w:link w:val="Evidence"/>
    <w:locked/>
    <w:rsid w:val="00B216B4"/>
    <w:rPr>
      <w:rFonts w:ascii="Times New Roman" w:eastAsia="Times New Roman" w:hAnsi="Times New Roman"/>
      <w:bCs/>
      <w:color w:val="000000"/>
      <w:lang w:eastAsia="fr-FR"/>
    </w:rPr>
  </w:style>
  <w:style w:type="character" w:customStyle="1" w:styleId="CitationChar">
    <w:name w:val="Citation Char"/>
    <w:basedOn w:val="DefaultParagraphFont"/>
    <w:locked/>
    <w:rsid w:val="00B216B4"/>
    <w:rPr>
      <w:i/>
      <w:iCs/>
      <w:color w:val="000000"/>
      <w:lang w:val="en-US"/>
    </w:rPr>
  </w:style>
  <w:style w:type="character" w:customStyle="1" w:styleId="ContentionChar">
    <w:name w:val="Contention Char"/>
    <w:basedOn w:val="CitationChar"/>
    <w:link w:val="Contention"/>
    <w:locked/>
    <w:rsid w:val="00B216B4"/>
    <w:rPr>
      <w:rFonts w:ascii="Times New Roman" w:eastAsia="Times New Roman" w:hAnsi="Times New Roman"/>
      <w:b/>
      <w:bCs/>
      <w:i w:val="0"/>
      <w:iCs w:val="0"/>
      <w:color w:val="000000"/>
      <w:lang w:val="en-US" w:eastAsia="fr-FR"/>
    </w:rPr>
  </w:style>
  <w:style w:type="character" w:customStyle="1" w:styleId="headertext">
    <w:name w:val="headertext"/>
    <w:basedOn w:val="DefaultParagraphFont"/>
    <w:rsid w:val="00B216B4"/>
  </w:style>
  <w:style w:type="paragraph" w:customStyle="1" w:styleId="floatimgcaption">
    <w:name w:val="float_img_caption"/>
    <w:basedOn w:val="Normal"/>
    <w:rsid w:val="00646838"/>
    <w:pPr>
      <w:spacing w:before="100" w:beforeAutospacing="1" w:after="100" w:afterAutospacing="1" w:line="240" w:lineRule="auto"/>
    </w:pPr>
    <w:rPr>
      <w:rFonts w:ascii="Times New Roman" w:eastAsia="Times New Roman" w:hAnsi="Times New Roman"/>
      <w:sz w:val="24"/>
      <w:szCs w:val="24"/>
    </w:rPr>
  </w:style>
  <w:style w:type="paragraph" w:customStyle="1" w:styleId="Default">
    <w:name w:val="Default"/>
    <w:rsid w:val="00F00C0C"/>
    <w:pPr>
      <w:autoSpaceDE w:val="0"/>
      <w:autoSpaceDN w:val="0"/>
      <w:adjustRightInd w:val="0"/>
    </w:pPr>
    <w:rPr>
      <w:rFonts w:ascii="JEEEA J+ Goudy" w:hAnsi="JEEEA J+ Goudy" w:cs="JEEEA J+ Goudy"/>
      <w:color w:val="000000"/>
      <w:sz w:val="24"/>
      <w:szCs w:val="24"/>
    </w:rPr>
  </w:style>
  <w:style w:type="character" w:styleId="HTMLCite">
    <w:name w:val="HTML Cite"/>
    <w:basedOn w:val="DefaultParagraphFont"/>
    <w:uiPriority w:val="99"/>
    <w:semiHidden/>
    <w:unhideWhenUsed/>
    <w:rsid w:val="000A525E"/>
    <w:rPr>
      <w:i/>
      <w:iCs/>
    </w:rPr>
  </w:style>
  <w:style w:type="character" w:customStyle="1" w:styleId="punctuation">
    <w:name w:val="punctuation"/>
    <w:basedOn w:val="DefaultParagraphFont"/>
    <w:rsid w:val="00EE0C11"/>
  </w:style>
  <w:style w:type="paragraph" w:styleId="HTMLPreformatted">
    <w:name w:val="HTML Preformatted"/>
    <w:basedOn w:val="Normal"/>
    <w:link w:val="HTMLPreformattedChar"/>
    <w:uiPriority w:val="99"/>
    <w:unhideWhenUsed/>
    <w:rsid w:val="00757B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757B32"/>
    <w:rPr>
      <w:rFonts w:ascii="Courier New" w:eastAsia="Times New Roman" w:hAnsi="Courier New" w:cs="Courier New"/>
    </w:rPr>
  </w:style>
  <w:style w:type="character" w:customStyle="1" w:styleId="Heading2Char">
    <w:name w:val="Heading 2 Char"/>
    <w:basedOn w:val="DefaultParagraphFont"/>
    <w:link w:val="Heading2"/>
    <w:rsid w:val="000D7CFA"/>
    <w:rPr>
      <w:rFonts w:ascii="Arial" w:eastAsia="Arial" w:hAnsi="Arial" w:cs="Arial"/>
      <w:b/>
      <w:color w:val="000000"/>
      <w:sz w:val="28"/>
      <w:szCs w:val="22"/>
    </w:rPr>
  </w:style>
  <w:style w:type="character" w:customStyle="1" w:styleId="Heading3Char">
    <w:name w:val="Heading 3 Char"/>
    <w:basedOn w:val="DefaultParagraphFont"/>
    <w:link w:val="Heading3"/>
    <w:rsid w:val="000D7CFA"/>
    <w:rPr>
      <w:rFonts w:ascii="Arial" w:eastAsia="Arial" w:hAnsi="Arial" w:cs="Arial"/>
      <w:b/>
      <w:color w:val="666666"/>
      <w:sz w:val="24"/>
      <w:szCs w:val="22"/>
    </w:rPr>
  </w:style>
  <w:style w:type="character" w:customStyle="1" w:styleId="Heading4Char">
    <w:name w:val="Heading 4 Char"/>
    <w:basedOn w:val="DefaultParagraphFont"/>
    <w:link w:val="Heading4"/>
    <w:rsid w:val="000D7CFA"/>
    <w:rPr>
      <w:rFonts w:ascii="Arial" w:eastAsia="Arial" w:hAnsi="Arial" w:cs="Arial"/>
      <w:i/>
      <w:color w:val="666666"/>
      <w:sz w:val="22"/>
      <w:szCs w:val="22"/>
    </w:rPr>
  </w:style>
  <w:style w:type="character" w:customStyle="1" w:styleId="Heading5Char">
    <w:name w:val="Heading 5 Char"/>
    <w:basedOn w:val="DefaultParagraphFont"/>
    <w:link w:val="Heading5"/>
    <w:rsid w:val="000D7CFA"/>
    <w:rPr>
      <w:rFonts w:ascii="Arial" w:eastAsia="Arial" w:hAnsi="Arial" w:cs="Arial"/>
      <w:b/>
      <w:color w:val="666666"/>
      <w:szCs w:val="22"/>
    </w:rPr>
  </w:style>
  <w:style w:type="character" w:customStyle="1" w:styleId="Heading6Char">
    <w:name w:val="Heading 6 Char"/>
    <w:basedOn w:val="DefaultParagraphFont"/>
    <w:link w:val="Heading6"/>
    <w:rsid w:val="000D7CFA"/>
    <w:rPr>
      <w:rFonts w:ascii="Arial" w:eastAsia="Arial" w:hAnsi="Arial" w:cs="Arial"/>
      <w:i/>
      <w:color w:val="666666"/>
      <w:szCs w:val="22"/>
    </w:rPr>
  </w:style>
  <w:style w:type="character" w:customStyle="1" w:styleId="SubtitleChar">
    <w:name w:val="Subtitle Char"/>
    <w:basedOn w:val="DefaultParagraphFont"/>
    <w:link w:val="Subtitle"/>
    <w:rsid w:val="000D7CFA"/>
    <w:rPr>
      <w:rFonts w:ascii="Georgia" w:eastAsia="Georgia" w:hAnsi="Georgia" w:cs="Georgia"/>
      <w:i/>
      <w:color w:val="666666"/>
      <w:sz w:val="48"/>
      <w:szCs w:val="22"/>
    </w:rPr>
  </w:style>
  <w:style w:type="paragraph" w:customStyle="1" w:styleId="BBBodyText">
    <w:name w:val="BB Body Text"/>
    <w:rsid w:val="000D7CFA"/>
    <w:pPr>
      <w:pBdr>
        <w:top w:val="nil"/>
        <w:left w:val="nil"/>
        <w:bottom w:val="nil"/>
        <w:right w:val="nil"/>
        <w:between w:val="nil"/>
        <w:bar w:val="nil"/>
      </w:pBdr>
    </w:pPr>
    <w:rPr>
      <w:rFonts w:ascii="Times New Roman" w:eastAsia="Times New Roman" w:hAnsi="Times New Roman"/>
      <w:color w:val="000000"/>
      <w:bdr w:val="nil"/>
    </w:rPr>
  </w:style>
  <w:style w:type="character" w:customStyle="1" w:styleId="Hyperlink0">
    <w:name w:val="Hyperlink.0"/>
    <w:basedOn w:val="Hyperlink"/>
    <w:rsid w:val="000D7CFA"/>
    <w:rPr>
      <w:color w:val="7F7F7F"/>
      <w:u w:val="single" w:color="7F7F7F"/>
    </w:rPr>
  </w:style>
  <w:style w:type="character" w:customStyle="1" w:styleId="Link0">
    <w:name w:val="Link"/>
    <w:rsid w:val="000D7CFA"/>
    <w:rPr>
      <w:u w:val="single"/>
    </w:rPr>
  </w:style>
  <w:style w:type="paragraph" w:customStyle="1" w:styleId="Footnote">
    <w:name w:val="Footnote"/>
    <w:rsid w:val="000D7CFA"/>
    <w:pPr>
      <w:pBdr>
        <w:top w:val="nil"/>
        <w:left w:val="nil"/>
        <w:bottom w:val="nil"/>
        <w:right w:val="nil"/>
        <w:between w:val="nil"/>
        <w:bar w:val="nil"/>
      </w:pBdr>
    </w:pPr>
    <w:rPr>
      <w:rFonts w:ascii="Helvetica" w:eastAsia="Helvetica" w:hAnsi="Helvetica" w:cs="Helvetica"/>
      <w:color w:val="000000"/>
      <w:sz w:val="22"/>
      <w:szCs w:val="22"/>
      <w:bdr w:val="nil"/>
    </w:rPr>
  </w:style>
  <w:style w:type="character" w:customStyle="1" w:styleId="Hyperlink1">
    <w:name w:val="Hyperlink.1"/>
    <w:basedOn w:val="Link0"/>
    <w:rsid w:val="000D7CFA"/>
    <w:rPr>
      <w:sz w:val="20"/>
      <w:szCs w:val="20"/>
      <w:u w:val="single"/>
    </w:rPr>
  </w:style>
  <w:style w:type="paragraph" w:customStyle="1" w:styleId="blockquote">
    <w:name w:val="blockquote"/>
    <w:basedOn w:val="Normal"/>
    <w:rsid w:val="000D7CFA"/>
    <w:pPr>
      <w:spacing w:before="100" w:beforeAutospacing="1" w:after="100" w:afterAutospacing="1" w:line="240" w:lineRule="auto"/>
    </w:pPr>
    <w:rPr>
      <w:rFonts w:ascii="Times New Roman" w:eastAsia="Times New Roman" w:hAnsi="Times New Roman"/>
      <w:sz w:val="24"/>
      <w:szCs w:val="24"/>
      <w:lang w:val="fr-FR" w:eastAsia="fr-FR"/>
    </w:rPr>
  </w:style>
  <w:style w:type="paragraph" w:customStyle="1" w:styleId="bodytext">
    <w:name w:val="bodytext"/>
    <w:basedOn w:val="Normal"/>
    <w:rsid w:val="000D7CFA"/>
    <w:pPr>
      <w:spacing w:before="100" w:beforeAutospacing="1" w:after="100" w:afterAutospacing="1" w:line="240" w:lineRule="auto"/>
    </w:pPr>
    <w:rPr>
      <w:rFonts w:ascii="Times New Roman" w:eastAsia="Times New Roman" w:hAnsi="Times New Roman"/>
      <w:sz w:val="24"/>
      <w:szCs w:val="24"/>
      <w:lang w:val="fr-FR" w:eastAsia="fr-FR"/>
    </w:rPr>
  </w:style>
  <w:style w:type="paragraph" w:customStyle="1" w:styleId="p">
    <w:name w:val="p"/>
    <w:basedOn w:val="Normal"/>
    <w:rsid w:val="000D7CFA"/>
    <w:pPr>
      <w:spacing w:before="100" w:beforeAutospacing="1" w:after="100" w:afterAutospacing="1" w:line="240" w:lineRule="auto"/>
    </w:pPr>
    <w:rPr>
      <w:rFonts w:ascii="Times New Roman" w:eastAsia="Times New Roman" w:hAnsi="Times New Roman"/>
      <w:sz w:val="24"/>
      <w:szCs w:val="24"/>
      <w:lang w:val="fr-FR" w:eastAsia="fr-FR"/>
    </w:rPr>
  </w:style>
  <w:style w:type="character" w:customStyle="1" w:styleId="Contention2Char">
    <w:name w:val="Contention 2 Char"/>
    <w:basedOn w:val="CitationChar"/>
    <w:link w:val="Contention2"/>
    <w:locked/>
    <w:rsid w:val="000D7CFA"/>
    <w:rPr>
      <w:rFonts w:ascii="Times New Roman" w:eastAsia="Times New Roman" w:hAnsi="Times New Roman"/>
      <w:b/>
      <w:bCs/>
      <w:i w:val="0"/>
      <w:iCs w:val="0"/>
      <w:color w:val="000000"/>
      <w:lang w:val="en-US" w:eastAsia="fr-FR"/>
    </w:rPr>
  </w:style>
  <w:style w:type="paragraph" w:customStyle="1" w:styleId="subbuzzdesc">
    <w:name w:val="sub_buzz_desc"/>
    <w:basedOn w:val="Normal"/>
    <w:rsid w:val="000D7CFA"/>
    <w:pPr>
      <w:spacing w:before="100" w:beforeAutospacing="1" w:after="100" w:afterAutospacing="1" w:line="240" w:lineRule="auto"/>
    </w:pPr>
    <w:rPr>
      <w:rFonts w:ascii="Times New Roman" w:eastAsia="Times New Roman" w:hAnsi="Times New Roman"/>
      <w:sz w:val="24"/>
      <w:szCs w:val="24"/>
      <w:lang w:val="fr-FR" w:eastAsia="fr-FR"/>
    </w:rPr>
  </w:style>
  <w:style w:type="paragraph" w:customStyle="1" w:styleId="ms-rteelement-p">
    <w:name w:val="ms-rteelement-p"/>
    <w:basedOn w:val="Normal"/>
    <w:rsid w:val="000D7CFA"/>
    <w:pPr>
      <w:spacing w:before="100" w:beforeAutospacing="1" w:after="100" w:afterAutospacing="1" w:line="240" w:lineRule="auto"/>
    </w:pPr>
    <w:rPr>
      <w:rFonts w:ascii="Times New Roman" w:eastAsia="Times New Roman" w:hAnsi="Times New Roman"/>
      <w:sz w:val="24"/>
      <w:szCs w:val="24"/>
    </w:rPr>
  </w:style>
  <w:style w:type="character" w:customStyle="1" w:styleId="A7">
    <w:name w:val="A7"/>
    <w:uiPriority w:val="99"/>
    <w:rsid w:val="000D7CFA"/>
    <w:rPr>
      <w:color w:val="000000"/>
      <w:sz w:val="10"/>
      <w:szCs w:val="10"/>
    </w:rPr>
  </w:style>
  <w:style w:type="character" w:customStyle="1" w:styleId="A00">
    <w:name w:val="A0"/>
    <w:uiPriority w:val="99"/>
    <w:rsid w:val="000D7CFA"/>
    <w:rPr>
      <w:b/>
      <w:bCs/>
      <w:color w:val="000000"/>
      <w:sz w:val="48"/>
      <w:szCs w:val="48"/>
    </w:rPr>
  </w:style>
  <w:style w:type="paragraph" w:customStyle="1" w:styleId="Pa2">
    <w:name w:val="Pa2"/>
    <w:basedOn w:val="Default"/>
    <w:next w:val="Default"/>
    <w:uiPriority w:val="99"/>
    <w:rsid w:val="000D7CFA"/>
    <w:pPr>
      <w:spacing w:line="241" w:lineRule="atLeast"/>
    </w:pPr>
    <w:rPr>
      <w:rFonts w:ascii="Arial" w:hAnsi="Arial" w:cs="Arial"/>
      <w:color w:val="auto"/>
      <w:lang w:eastAsia="fr-FR"/>
    </w:rPr>
  </w:style>
  <w:style w:type="character" w:customStyle="1" w:styleId="A2">
    <w:name w:val="A2"/>
    <w:uiPriority w:val="99"/>
    <w:rsid w:val="000D7CFA"/>
    <w:rPr>
      <w:color w:val="000000"/>
      <w:sz w:val="20"/>
      <w:szCs w:val="20"/>
    </w:rPr>
  </w:style>
  <w:style w:type="paragraph" w:customStyle="1" w:styleId="Pa8">
    <w:name w:val="Pa8"/>
    <w:basedOn w:val="Default"/>
    <w:next w:val="Default"/>
    <w:uiPriority w:val="99"/>
    <w:rsid w:val="000D7CFA"/>
    <w:pPr>
      <w:spacing w:line="181" w:lineRule="atLeast"/>
    </w:pPr>
    <w:rPr>
      <w:rFonts w:ascii="Arial" w:hAnsi="Arial" w:cs="Arial"/>
      <w:color w:val="auto"/>
      <w:lang w:eastAsia="fr-FR"/>
    </w:rPr>
  </w:style>
  <w:style w:type="paragraph" w:customStyle="1" w:styleId="Pa22">
    <w:name w:val="Pa22"/>
    <w:basedOn w:val="Default"/>
    <w:next w:val="Default"/>
    <w:uiPriority w:val="99"/>
    <w:rsid w:val="000D7CFA"/>
    <w:pPr>
      <w:spacing w:line="181" w:lineRule="atLeast"/>
    </w:pPr>
    <w:rPr>
      <w:rFonts w:ascii="Arial" w:hAnsi="Arial" w:cs="Arial"/>
      <w:color w:val="auto"/>
      <w:lang w:eastAsia="fr-FR"/>
    </w:rPr>
  </w:style>
  <w:style w:type="paragraph" w:customStyle="1" w:styleId="Pa7">
    <w:name w:val="Pa7"/>
    <w:basedOn w:val="Default"/>
    <w:next w:val="Default"/>
    <w:uiPriority w:val="99"/>
    <w:rsid w:val="000D7CFA"/>
    <w:pPr>
      <w:spacing w:line="181" w:lineRule="atLeast"/>
    </w:pPr>
    <w:rPr>
      <w:rFonts w:ascii="Arial" w:hAnsi="Arial" w:cs="Arial"/>
      <w:color w:val="auto"/>
      <w:lang w:eastAsia="fr-FR"/>
    </w:rPr>
  </w:style>
  <w:style w:type="paragraph" w:customStyle="1" w:styleId="inside-copy">
    <w:name w:val="inside-copy"/>
    <w:basedOn w:val="Normal"/>
    <w:rsid w:val="000D7CFA"/>
    <w:pPr>
      <w:spacing w:before="100" w:beforeAutospacing="1" w:after="100" w:afterAutospacing="1" w:line="240" w:lineRule="auto"/>
    </w:pPr>
    <w:rPr>
      <w:rFonts w:ascii="Times New Roman" w:eastAsia="Times New Roman" w:hAnsi="Times New Roman"/>
      <w:sz w:val="24"/>
      <w:szCs w:val="24"/>
    </w:rPr>
  </w:style>
  <w:style w:type="paragraph" w:customStyle="1" w:styleId="ember-view">
    <w:name w:val="ember-view"/>
    <w:basedOn w:val="Normal"/>
    <w:rsid w:val="000D7CFA"/>
    <w:pPr>
      <w:spacing w:before="100" w:beforeAutospacing="1" w:after="100" w:afterAutospacing="1" w:line="240" w:lineRule="auto"/>
    </w:pPr>
    <w:rPr>
      <w:rFonts w:ascii="Times New Roman" w:eastAsia="Times New Roman" w:hAnsi="Times New Roman"/>
      <w:sz w:val="24"/>
      <w:szCs w:val="24"/>
    </w:rPr>
  </w:style>
  <w:style w:type="paragraph" w:customStyle="1" w:styleId="indent">
    <w:name w:val="indent"/>
    <w:basedOn w:val="Normal"/>
    <w:rsid w:val="000D7CFA"/>
    <w:pPr>
      <w:spacing w:before="100" w:beforeAutospacing="1" w:after="100" w:afterAutospacing="1" w:line="240" w:lineRule="auto"/>
    </w:pPr>
    <w:rPr>
      <w:rFonts w:ascii="Times New Roman" w:eastAsia="Times New Roman" w:hAnsi="Times New Roman"/>
      <w:sz w:val="24"/>
      <w:szCs w:val="24"/>
    </w:rPr>
  </w:style>
  <w:style w:type="character" w:customStyle="1" w:styleId="num">
    <w:name w:val="num"/>
    <w:basedOn w:val="DefaultParagraphFont"/>
    <w:rsid w:val="000D7CFA"/>
  </w:style>
  <w:style w:type="character" w:customStyle="1" w:styleId="amp">
    <w:name w:val="amp"/>
    <w:basedOn w:val="DefaultParagraphFont"/>
    <w:rsid w:val="000D7CFA"/>
  </w:style>
  <w:style w:type="character" w:customStyle="1" w:styleId="comp">
    <w:name w:val="comp"/>
    <w:basedOn w:val="DefaultParagraphFont"/>
    <w:rsid w:val="007B1A56"/>
  </w:style>
  <w:style w:type="character" w:styleId="UnresolvedMention">
    <w:name w:val="Unresolved Mention"/>
    <w:basedOn w:val="DefaultParagraphFont"/>
    <w:uiPriority w:val="99"/>
    <w:semiHidden/>
    <w:unhideWhenUsed/>
    <w:rsid w:val="00AD7F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15885">
      <w:bodyDiv w:val="1"/>
      <w:marLeft w:val="0"/>
      <w:marRight w:val="0"/>
      <w:marTop w:val="0"/>
      <w:marBottom w:val="0"/>
      <w:divBdr>
        <w:top w:val="none" w:sz="0" w:space="0" w:color="auto"/>
        <w:left w:val="none" w:sz="0" w:space="0" w:color="auto"/>
        <w:bottom w:val="none" w:sz="0" w:space="0" w:color="auto"/>
        <w:right w:val="none" w:sz="0" w:space="0" w:color="auto"/>
      </w:divBdr>
    </w:div>
    <w:div w:id="37752671">
      <w:bodyDiv w:val="1"/>
      <w:marLeft w:val="0"/>
      <w:marRight w:val="0"/>
      <w:marTop w:val="0"/>
      <w:marBottom w:val="0"/>
      <w:divBdr>
        <w:top w:val="none" w:sz="0" w:space="0" w:color="auto"/>
        <w:left w:val="none" w:sz="0" w:space="0" w:color="auto"/>
        <w:bottom w:val="none" w:sz="0" w:space="0" w:color="auto"/>
        <w:right w:val="none" w:sz="0" w:space="0" w:color="auto"/>
      </w:divBdr>
    </w:div>
    <w:div w:id="55713798">
      <w:bodyDiv w:val="1"/>
      <w:marLeft w:val="0"/>
      <w:marRight w:val="0"/>
      <w:marTop w:val="0"/>
      <w:marBottom w:val="0"/>
      <w:divBdr>
        <w:top w:val="none" w:sz="0" w:space="0" w:color="auto"/>
        <w:left w:val="none" w:sz="0" w:space="0" w:color="auto"/>
        <w:bottom w:val="none" w:sz="0" w:space="0" w:color="auto"/>
        <w:right w:val="none" w:sz="0" w:space="0" w:color="auto"/>
      </w:divBdr>
      <w:divsChild>
        <w:div w:id="621614233">
          <w:marLeft w:val="0"/>
          <w:marRight w:val="0"/>
          <w:marTop w:val="0"/>
          <w:marBottom w:val="0"/>
          <w:divBdr>
            <w:top w:val="none" w:sz="0" w:space="0" w:color="auto"/>
            <w:left w:val="none" w:sz="0" w:space="0" w:color="auto"/>
            <w:bottom w:val="none" w:sz="0" w:space="0" w:color="auto"/>
            <w:right w:val="none" w:sz="0" w:space="0" w:color="auto"/>
          </w:divBdr>
        </w:div>
        <w:div w:id="1177772787">
          <w:marLeft w:val="0"/>
          <w:marRight w:val="0"/>
          <w:marTop w:val="0"/>
          <w:marBottom w:val="0"/>
          <w:divBdr>
            <w:top w:val="none" w:sz="0" w:space="0" w:color="auto"/>
            <w:left w:val="none" w:sz="0" w:space="0" w:color="auto"/>
            <w:bottom w:val="none" w:sz="0" w:space="0" w:color="auto"/>
            <w:right w:val="none" w:sz="0" w:space="0" w:color="auto"/>
          </w:divBdr>
        </w:div>
        <w:div w:id="960570026">
          <w:marLeft w:val="0"/>
          <w:marRight w:val="0"/>
          <w:marTop w:val="0"/>
          <w:marBottom w:val="0"/>
          <w:divBdr>
            <w:top w:val="none" w:sz="0" w:space="0" w:color="auto"/>
            <w:left w:val="none" w:sz="0" w:space="0" w:color="auto"/>
            <w:bottom w:val="none" w:sz="0" w:space="0" w:color="auto"/>
            <w:right w:val="none" w:sz="0" w:space="0" w:color="auto"/>
          </w:divBdr>
        </w:div>
        <w:div w:id="1689868250">
          <w:marLeft w:val="0"/>
          <w:marRight w:val="0"/>
          <w:marTop w:val="0"/>
          <w:marBottom w:val="0"/>
          <w:divBdr>
            <w:top w:val="none" w:sz="0" w:space="0" w:color="auto"/>
            <w:left w:val="none" w:sz="0" w:space="0" w:color="auto"/>
            <w:bottom w:val="none" w:sz="0" w:space="0" w:color="auto"/>
            <w:right w:val="none" w:sz="0" w:space="0" w:color="auto"/>
          </w:divBdr>
        </w:div>
        <w:div w:id="1786850599">
          <w:marLeft w:val="0"/>
          <w:marRight w:val="0"/>
          <w:marTop w:val="0"/>
          <w:marBottom w:val="0"/>
          <w:divBdr>
            <w:top w:val="none" w:sz="0" w:space="0" w:color="auto"/>
            <w:left w:val="none" w:sz="0" w:space="0" w:color="auto"/>
            <w:bottom w:val="none" w:sz="0" w:space="0" w:color="auto"/>
            <w:right w:val="none" w:sz="0" w:space="0" w:color="auto"/>
          </w:divBdr>
        </w:div>
        <w:div w:id="1496722306">
          <w:marLeft w:val="0"/>
          <w:marRight w:val="0"/>
          <w:marTop w:val="0"/>
          <w:marBottom w:val="0"/>
          <w:divBdr>
            <w:top w:val="none" w:sz="0" w:space="0" w:color="auto"/>
            <w:left w:val="none" w:sz="0" w:space="0" w:color="auto"/>
            <w:bottom w:val="none" w:sz="0" w:space="0" w:color="auto"/>
            <w:right w:val="none" w:sz="0" w:space="0" w:color="auto"/>
          </w:divBdr>
        </w:div>
        <w:div w:id="951743050">
          <w:marLeft w:val="0"/>
          <w:marRight w:val="0"/>
          <w:marTop w:val="0"/>
          <w:marBottom w:val="0"/>
          <w:divBdr>
            <w:top w:val="none" w:sz="0" w:space="0" w:color="auto"/>
            <w:left w:val="none" w:sz="0" w:space="0" w:color="auto"/>
            <w:bottom w:val="none" w:sz="0" w:space="0" w:color="auto"/>
            <w:right w:val="none" w:sz="0" w:space="0" w:color="auto"/>
          </w:divBdr>
        </w:div>
        <w:div w:id="876743006">
          <w:marLeft w:val="0"/>
          <w:marRight w:val="0"/>
          <w:marTop w:val="0"/>
          <w:marBottom w:val="0"/>
          <w:divBdr>
            <w:top w:val="none" w:sz="0" w:space="0" w:color="auto"/>
            <w:left w:val="none" w:sz="0" w:space="0" w:color="auto"/>
            <w:bottom w:val="none" w:sz="0" w:space="0" w:color="auto"/>
            <w:right w:val="none" w:sz="0" w:space="0" w:color="auto"/>
          </w:divBdr>
        </w:div>
        <w:div w:id="1574655190">
          <w:marLeft w:val="0"/>
          <w:marRight w:val="0"/>
          <w:marTop w:val="0"/>
          <w:marBottom w:val="0"/>
          <w:divBdr>
            <w:top w:val="none" w:sz="0" w:space="0" w:color="auto"/>
            <w:left w:val="none" w:sz="0" w:space="0" w:color="auto"/>
            <w:bottom w:val="none" w:sz="0" w:space="0" w:color="auto"/>
            <w:right w:val="none" w:sz="0" w:space="0" w:color="auto"/>
          </w:divBdr>
        </w:div>
        <w:div w:id="809439310">
          <w:marLeft w:val="0"/>
          <w:marRight w:val="0"/>
          <w:marTop w:val="0"/>
          <w:marBottom w:val="0"/>
          <w:divBdr>
            <w:top w:val="none" w:sz="0" w:space="0" w:color="auto"/>
            <w:left w:val="none" w:sz="0" w:space="0" w:color="auto"/>
            <w:bottom w:val="none" w:sz="0" w:space="0" w:color="auto"/>
            <w:right w:val="none" w:sz="0" w:space="0" w:color="auto"/>
          </w:divBdr>
        </w:div>
        <w:div w:id="112556597">
          <w:marLeft w:val="0"/>
          <w:marRight w:val="0"/>
          <w:marTop w:val="0"/>
          <w:marBottom w:val="0"/>
          <w:divBdr>
            <w:top w:val="none" w:sz="0" w:space="0" w:color="auto"/>
            <w:left w:val="none" w:sz="0" w:space="0" w:color="auto"/>
            <w:bottom w:val="none" w:sz="0" w:space="0" w:color="auto"/>
            <w:right w:val="none" w:sz="0" w:space="0" w:color="auto"/>
          </w:divBdr>
        </w:div>
        <w:div w:id="1662001577">
          <w:marLeft w:val="0"/>
          <w:marRight w:val="0"/>
          <w:marTop w:val="0"/>
          <w:marBottom w:val="0"/>
          <w:divBdr>
            <w:top w:val="none" w:sz="0" w:space="0" w:color="auto"/>
            <w:left w:val="none" w:sz="0" w:space="0" w:color="auto"/>
            <w:bottom w:val="none" w:sz="0" w:space="0" w:color="auto"/>
            <w:right w:val="none" w:sz="0" w:space="0" w:color="auto"/>
          </w:divBdr>
        </w:div>
        <w:div w:id="1864131889">
          <w:marLeft w:val="0"/>
          <w:marRight w:val="0"/>
          <w:marTop w:val="0"/>
          <w:marBottom w:val="0"/>
          <w:divBdr>
            <w:top w:val="none" w:sz="0" w:space="0" w:color="auto"/>
            <w:left w:val="none" w:sz="0" w:space="0" w:color="auto"/>
            <w:bottom w:val="none" w:sz="0" w:space="0" w:color="auto"/>
            <w:right w:val="none" w:sz="0" w:space="0" w:color="auto"/>
          </w:divBdr>
        </w:div>
        <w:div w:id="1020618787">
          <w:marLeft w:val="0"/>
          <w:marRight w:val="0"/>
          <w:marTop w:val="0"/>
          <w:marBottom w:val="0"/>
          <w:divBdr>
            <w:top w:val="none" w:sz="0" w:space="0" w:color="auto"/>
            <w:left w:val="none" w:sz="0" w:space="0" w:color="auto"/>
            <w:bottom w:val="none" w:sz="0" w:space="0" w:color="auto"/>
            <w:right w:val="none" w:sz="0" w:space="0" w:color="auto"/>
          </w:divBdr>
        </w:div>
        <w:div w:id="982344217">
          <w:marLeft w:val="0"/>
          <w:marRight w:val="0"/>
          <w:marTop w:val="0"/>
          <w:marBottom w:val="0"/>
          <w:divBdr>
            <w:top w:val="none" w:sz="0" w:space="0" w:color="auto"/>
            <w:left w:val="none" w:sz="0" w:space="0" w:color="auto"/>
            <w:bottom w:val="none" w:sz="0" w:space="0" w:color="auto"/>
            <w:right w:val="none" w:sz="0" w:space="0" w:color="auto"/>
          </w:divBdr>
        </w:div>
        <w:div w:id="1807165279">
          <w:marLeft w:val="0"/>
          <w:marRight w:val="0"/>
          <w:marTop w:val="0"/>
          <w:marBottom w:val="0"/>
          <w:divBdr>
            <w:top w:val="none" w:sz="0" w:space="0" w:color="auto"/>
            <w:left w:val="none" w:sz="0" w:space="0" w:color="auto"/>
            <w:bottom w:val="none" w:sz="0" w:space="0" w:color="auto"/>
            <w:right w:val="none" w:sz="0" w:space="0" w:color="auto"/>
          </w:divBdr>
        </w:div>
        <w:div w:id="1846480490">
          <w:marLeft w:val="0"/>
          <w:marRight w:val="0"/>
          <w:marTop w:val="0"/>
          <w:marBottom w:val="0"/>
          <w:divBdr>
            <w:top w:val="none" w:sz="0" w:space="0" w:color="auto"/>
            <w:left w:val="none" w:sz="0" w:space="0" w:color="auto"/>
            <w:bottom w:val="none" w:sz="0" w:space="0" w:color="auto"/>
            <w:right w:val="none" w:sz="0" w:space="0" w:color="auto"/>
          </w:divBdr>
        </w:div>
      </w:divsChild>
    </w:div>
    <w:div w:id="59983763">
      <w:bodyDiv w:val="1"/>
      <w:marLeft w:val="0"/>
      <w:marRight w:val="0"/>
      <w:marTop w:val="0"/>
      <w:marBottom w:val="0"/>
      <w:divBdr>
        <w:top w:val="none" w:sz="0" w:space="0" w:color="auto"/>
        <w:left w:val="none" w:sz="0" w:space="0" w:color="auto"/>
        <w:bottom w:val="none" w:sz="0" w:space="0" w:color="auto"/>
        <w:right w:val="none" w:sz="0" w:space="0" w:color="auto"/>
      </w:divBdr>
    </w:div>
    <w:div w:id="97802392">
      <w:bodyDiv w:val="1"/>
      <w:marLeft w:val="0"/>
      <w:marRight w:val="0"/>
      <w:marTop w:val="0"/>
      <w:marBottom w:val="0"/>
      <w:divBdr>
        <w:top w:val="none" w:sz="0" w:space="0" w:color="auto"/>
        <w:left w:val="none" w:sz="0" w:space="0" w:color="auto"/>
        <w:bottom w:val="none" w:sz="0" w:space="0" w:color="auto"/>
        <w:right w:val="none" w:sz="0" w:space="0" w:color="auto"/>
      </w:divBdr>
    </w:div>
    <w:div w:id="110172812">
      <w:bodyDiv w:val="1"/>
      <w:marLeft w:val="0"/>
      <w:marRight w:val="0"/>
      <w:marTop w:val="0"/>
      <w:marBottom w:val="0"/>
      <w:divBdr>
        <w:top w:val="none" w:sz="0" w:space="0" w:color="auto"/>
        <w:left w:val="none" w:sz="0" w:space="0" w:color="auto"/>
        <w:bottom w:val="none" w:sz="0" w:space="0" w:color="auto"/>
        <w:right w:val="none" w:sz="0" w:space="0" w:color="auto"/>
      </w:divBdr>
    </w:div>
    <w:div w:id="125317957">
      <w:bodyDiv w:val="1"/>
      <w:marLeft w:val="0"/>
      <w:marRight w:val="0"/>
      <w:marTop w:val="0"/>
      <w:marBottom w:val="0"/>
      <w:divBdr>
        <w:top w:val="none" w:sz="0" w:space="0" w:color="auto"/>
        <w:left w:val="none" w:sz="0" w:space="0" w:color="auto"/>
        <w:bottom w:val="none" w:sz="0" w:space="0" w:color="auto"/>
        <w:right w:val="none" w:sz="0" w:space="0" w:color="auto"/>
      </w:divBdr>
    </w:div>
    <w:div w:id="142281834">
      <w:bodyDiv w:val="1"/>
      <w:marLeft w:val="0"/>
      <w:marRight w:val="0"/>
      <w:marTop w:val="0"/>
      <w:marBottom w:val="0"/>
      <w:divBdr>
        <w:top w:val="none" w:sz="0" w:space="0" w:color="auto"/>
        <w:left w:val="none" w:sz="0" w:space="0" w:color="auto"/>
        <w:bottom w:val="none" w:sz="0" w:space="0" w:color="auto"/>
        <w:right w:val="none" w:sz="0" w:space="0" w:color="auto"/>
      </w:divBdr>
    </w:div>
    <w:div w:id="158736663">
      <w:bodyDiv w:val="1"/>
      <w:marLeft w:val="0"/>
      <w:marRight w:val="0"/>
      <w:marTop w:val="0"/>
      <w:marBottom w:val="0"/>
      <w:divBdr>
        <w:top w:val="none" w:sz="0" w:space="0" w:color="auto"/>
        <w:left w:val="none" w:sz="0" w:space="0" w:color="auto"/>
        <w:bottom w:val="none" w:sz="0" w:space="0" w:color="auto"/>
        <w:right w:val="none" w:sz="0" w:space="0" w:color="auto"/>
      </w:divBdr>
    </w:div>
    <w:div w:id="159586781">
      <w:bodyDiv w:val="1"/>
      <w:marLeft w:val="0"/>
      <w:marRight w:val="0"/>
      <w:marTop w:val="0"/>
      <w:marBottom w:val="0"/>
      <w:divBdr>
        <w:top w:val="none" w:sz="0" w:space="0" w:color="auto"/>
        <w:left w:val="none" w:sz="0" w:space="0" w:color="auto"/>
        <w:bottom w:val="none" w:sz="0" w:space="0" w:color="auto"/>
        <w:right w:val="none" w:sz="0" w:space="0" w:color="auto"/>
      </w:divBdr>
      <w:divsChild>
        <w:div w:id="2062828512">
          <w:marLeft w:val="0"/>
          <w:marRight w:val="0"/>
          <w:marTop w:val="0"/>
          <w:marBottom w:val="0"/>
          <w:divBdr>
            <w:top w:val="none" w:sz="0" w:space="0" w:color="auto"/>
            <w:left w:val="none" w:sz="0" w:space="0" w:color="auto"/>
            <w:bottom w:val="none" w:sz="0" w:space="0" w:color="auto"/>
            <w:right w:val="none" w:sz="0" w:space="0" w:color="auto"/>
          </w:divBdr>
          <w:divsChild>
            <w:div w:id="1647587782">
              <w:marLeft w:val="0"/>
              <w:marRight w:val="0"/>
              <w:marTop w:val="0"/>
              <w:marBottom w:val="0"/>
              <w:divBdr>
                <w:top w:val="none" w:sz="0" w:space="0" w:color="auto"/>
                <w:left w:val="none" w:sz="0" w:space="0" w:color="auto"/>
                <w:bottom w:val="none" w:sz="0" w:space="0" w:color="auto"/>
                <w:right w:val="none" w:sz="0" w:space="0" w:color="auto"/>
              </w:divBdr>
            </w:div>
            <w:div w:id="199781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289380">
      <w:bodyDiv w:val="1"/>
      <w:marLeft w:val="0"/>
      <w:marRight w:val="0"/>
      <w:marTop w:val="0"/>
      <w:marBottom w:val="0"/>
      <w:divBdr>
        <w:top w:val="none" w:sz="0" w:space="0" w:color="auto"/>
        <w:left w:val="none" w:sz="0" w:space="0" w:color="auto"/>
        <w:bottom w:val="none" w:sz="0" w:space="0" w:color="auto"/>
        <w:right w:val="none" w:sz="0" w:space="0" w:color="auto"/>
      </w:divBdr>
    </w:div>
    <w:div w:id="206065852">
      <w:bodyDiv w:val="1"/>
      <w:marLeft w:val="0"/>
      <w:marRight w:val="0"/>
      <w:marTop w:val="0"/>
      <w:marBottom w:val="0"/>
      <w:divBdr>
        <w:top w:val="none" w:sz="0" w:space="0" w:color="auto"/>
        <w:left w:val="none" w:sz="0" w:space="0" w:color="auto"/>
        <w:bottom w:val="none" w:sz="0" w:space="0" w:color="auto"/>
        <w:right w:val="none" w:sz="0" w:space="0" w:color="auto"/>
      </w:divBdr>
    </w:div>
    <w:div w:id="214588231">
      <w:bodyDiv w:val="1"/>
      <w:marLeft w:val="0"/>
      <w:marRight w:val="0"/>
      <w:marTop w:val="0"/>
      <w:marBottom w:val="0"/>
      <w:divBdr>
        <w:top w:val="none" w:sz="0" w:space="0" w:color="auto"/>
        <w:left w:val="none" w:sz="0" w:space="0" w:color="auto"/>
        <w:bottom w:val="none" w:sz="0" w:space="0" w:color="auto"/>
        <w:right w:val="none" w:sz="0" w:space="0" w:color="auto"/>
      </w:divBdr>
    </w:div>
    <w:div w:id="234899008">
      <w:bodyDiv w:val="1"/>
      <w:marLeft w:val="0"/>
      <w:marRight w:val="0"/>
      <w:marTop w:val="0"/>
      <w:marBottom w:val="0"/>
      <w:divBdr>
        <w:top w:val="none" w:sz="0" w:space="0" w:color="auto"/>
        <w:left w:val="none" w:sz="0" w:space="0" w:color="auto"/>
        <w:bottom w:val="none" w:sz="0" w:space="0" w:color="auto"/>
        <w:right w:val="none" w:sz="0" w:space="0" w:color="auto"/>
      </w:divBdr>
    </w:div>
    <w:div w:id="260601891">
      <w:bodyDiv w:val="1"/>
      <w:marLeft w:val="0"/>
      <w:marRight w:val="0"/>
      <w:marTop w:val="0"/>
      <w:marBottom w:val="0"/>
      <w:divBdr>
        <w:top w:val="none" w:sz="0" w:space="0" w:color="auto"/>
        <w:left w:val="none" w:sz="0" w:space="0" w:color="auto"/>
        <w:bottom w:val="none" w:sz="0" w:space="0" w:color="auto"/>
        <w:right w:val="none" w:sz="0" w:space="0" w:color="auto"/>
      </w:divBdr>
    </w:div>
    <w:div w:id="265230812">
      <w:bodyDiv w:val="1"/>
      <w:marLeft w:val="0"/>
      <w:marRight w:val="0"/>
      <w:marTop w:val="0"/>
      <w:marBottom w:val="0"/>
      <w:divBdr>
        <w:top w:val="none" w:sz="0" w:space="0" w:color="auto"/>
        <w:left w:val="none" w:sz="0" w:space="0" w:color="auto"/>
        <w:bottom w:val="none" w:sz="0" w:space="0" w:color="auto"/>
        <w:right w:val="none" w:sz="0" w:space="0" w:color="auto"/>
      </w:divBdr>
    </w:div>
    <w:div w:id="269550442">
      <w:bodyDiv w:val="1"/>
      <w:marLeft w:val="0"/>
      <w:marRight w:val="0"/>
      <w:marTop w:val="0"/>
      <w:marBottom w:val="0"/>
      <w:divBdr>
        <w:top w:val="none" w:sz="0" w:space="0" w:color="auto"/>
        <w:left w:val="none" w:sz="0" w:space="0" w:color="auto"/>
        <w:bottom w:val="none" w:sz="0" w:space="0" w:color="auto"/>
        <w:right w:val="none" w:sz="0" w:space="0" w:color="auto"/>
      </w:divBdr>
    </w:div>
    <w:div w:id="290093437">
      <w:bodyDiv w:val="1"/>
      <w:marLeft w:val="0"/>
      <w:marRight w:val="0"/>
      <w:marTop w:val="0"/>
      <w:marBottom w:val="0"/>
      <w:divBdr>
        <w:top w:val="none" w:sz="0" w:space="0" w:color="auto"/>
        <w:left w:val="none" w:sz="0" w:space="0" w:color="auto"/>
        <w:bottom w:val="none" w:sz="0" w:space="0" w:color="auto"/>
        <w:right w:val="none" w:sz="0" w:space="0" w:color="auto"/>
      </w:divBdr>
    </w:div>
    <w:div w:id="295069312">
      <w:bodyDiv w:val="1"/>
      <w:marLeft w:val="0"/>
      <w:marRight w:val="0"/>
      <w:marTop w:val="0"/>
      <w:marBottom w:val="0"/>
      <w:divBdr>
        <w:top w:val="none" w:sz="0" w:space="0" w:color="auto"/>
        <w:left w:val="none" w:sz="0" w:space="0" w:color="auto"/>
        <w:bottom w:val="none" w:sz="0" w:space="0" w:color="auto"/>
        <w:right w:val="none" w:sz="0" w:space="0" w:color="auto"/>
      </w:divBdr>
    </w:div>
    <w:div w:id="296107695">
      <w:bodyDiv w:val="1"/>
      <w:marLeft w:val="0"/>
      <w:marRight w:val="0"/>
      <w:marTop w:val="0"/>
      <w:marBottom w:val="0"/>
      <w:divBdr>
        <w:top w:val="none" w:sz="0" w:space="0" w:color="auto"/>
        <w:left w:val="none" w:sz="0" w:space="0" w:color="auto"/>
        <w:bottom w:val="none" w:sz="0" w:space="0" w:color="auto"/>
        <w:right w:val="none" w:sz="0" w:space="0" w:color="auto"/>
      </w:divBdr>
    </w:div>
    <w:div w:id="297222689">
      <w:bodyDiv w:val="1"/>
      <w:marLeft w:val="0"/>
      <w:marRight w:val="0"/>
      <w:marTop w:val="0"/>
      <w:marBottom w:val="0"/>
      <w:divBdr>
        <w:top w:val="none" w:sz="0" w:space="0" w:color="auto"/>
        <w:left w:val="none" w:sz="0" w:space="0" w:color="auto"/>
        <w:bottom w:val="none" w:sz="0" w:space="0" w:color="auto"/>
        <w:right w:val="none" w:sz="0" w:space="0" w:color="auto"/>
      </w:divBdr>
    </w:div>
    <w:div w:id="300041008">
      <w:bodyDiv w:val="1"/>
      <w:marLeft w:val="0"/>
      <w:marRight w:val="0"/>
      <w:marTop w:val="0"/>
      <w:marBottom w:val="0"/>
      <w:divBdr>
        <w:top w:val="none" w:sz="0" w:space="0" w:color="auto"/>
        <w:left w:val="none" w:sz="0" w:space="0" w:color="auto"/>
        <w:bottom w:val="none" w:sz="0" w:space="0" w:color="auto"/>
        <w:right w:val="none" w:sz="0" w:space="0" w:color="auto"/>
      </w:divBdr>
    </w:div>
    <w:div w:id="301930602">
      <w:bodyDiv w:val="1"/>
      <w:marLeft w:val="0"/>
      <w:marRight w:val="0"/>
      <w:marTop w:val="0"/>
      <w:marBottom w:val="0"/>
      <w:divBdr>
        <w:top w:val="none" w:sz="0" w:space="0" w:color="auto"/>
        <w:left w:val="none" w:sz="0" w:space="0" w:color="auto"/>
        <w:bottom w:val="none" w:sz="0" w:space="0" w:color="auto"/>
        <w:right w:val="none" w:sz="0" w:space="0" w:color="auto"/>
      </w:divBdr>
    </w:div>
    <w:div w:id="318116585">
      <w:bodyDiv w:val="1"/>
      <w:marLeft w:val="0"/>
      <w:marRight w:val="0"/>
      <w:marTop w:val="0"/>
      <w:marBottom w:val="0"/>
      <w:divBdr>
        <w:top w:val="none" w:sz="0" w:space="0" w:color="auto"/>
        <w:left w:val="none" w:sz="0" w:space="0" w:color="auto"/>
        <w:bottom w:val="none" w:sz="0" w:space="0" w:color="auto"/>
        <w:right w:val="none" w:sz="0" w:space="0" w:color="auto"/>
      </w:divBdr>
    </w:div>
    <w:div w:id="329261818">
      <w:bodyDiv w:val="1"/>
      <w:marLeft w:val="0"/>
      <w:marRight w:val="0"/>
      <w:marTop w:val="0"/>
      <w:marBottom w:val="0"/>
      <w:divBdr>
        <w:top w:val="none" w:sz="0" w:space="0" w:color="auto"/>
        <w:left w:val="none" w:sz="0" w:space="0" w:color="auto"/>
        <w:bottom w:val="none" w:sz="0" w:space="0" w:color="auto"/>
        <w:right w:val="none" w:sz="0" w:space="0" w:color="auto"/>
      </w:divBdr>
    </w:div>
    <w:div w:id="392197563">
      <w:bodyDiv w:val="1"/>
      <w:marLeft w:val="0"/>
      <w:marRight w:val="0"/>
      <w:marTop w:val="0"/>
      <w:marBottom w:val="0"/>
      <w:divBdr>
        <w:top w:val="none" w:sz="0" w:space="0" w:color="auto"/>
        <w:left w:val="none" w:sz="0" w:space="0" w:color="auto"/>
        <w:bottom w:val="none" w:sz="0" w:space="0" w:color="auto"/>
        <w:right w:val="none" w:sz="0" w:space="0" w:color="auto"/>
      </w:divBdr>
    </w:div>
    <w:div w:id="400451358">
      <w:bodyDiv w:val="1"/>
      <w:marLeft w:val="0"/>
      <w:marRight w:val="0"/>
      <w:marTop w:val="0"/>
      <w:marBottom w:val="0"/>
      <w:divBdr>
        <w:top w:val="none" w:sz="0" w:space="0" w:color="auto"/>
        <w:left w:val="none" w:sz="0" w:space="0" w:color="auto"/>
        <w:bottom w:val="none" w:sz="0" w:space="0" w:color="auto"/>
        <w:right w:val="none" w:sz="0" w:space="0" w:color="auto"/>
      </w:divBdr>
      <w:divsChild>
        <w:div w:id="156380453">
          <w:marLeft w:val="0"/>
          <w:marRight w:val="0"/>
          <w:marTop w:val="0"/>
          <w:marBottom w:val="0"/>
          <w:divBdr>
            <w:top w:val="none" w:sz="0" w:space="0" w:color="auto"/>
            <w:left w:val="none" w:sz="0" w:space="0" w:color="auto"/>
            <w:bottom w:val="none" w:sz="0" w:space="0" w:color="auto"/>
            <w:right w:val="none" w:sz="0" w:space="0" w:color="auto"/>
          </w:divBdr>
        </w:div>
        <w:div w:id="163593271">
          <w:marLeft w:val="0"/>
          <w:marRight w:val="0"/>
          <w:marTop w:val="0"/>
          <w:marBottom w:val="0"/>
          <w:divBdr>
            <w:top w:val="none" w:sz="0" w:space="0" w:color="auto"/>
            <w:left w:val="none" w:sz="0" w:space="0" w:color="auto"/>
            <w:bottom w:val="none" w:sz="0" w:space="0" w:color="auto"/>
            <w:right w:val="none" w:sz="0" w:space="0" w:color="auto"/>
          </w:divBdr>
        </w:div>
        <w:div w:id="550961943">
          <w:marLeft w:val="0"/>
          <w:marRight w:val="0"/>
          <w:marTop w:val="0"/>
          <w:marBottom w:val="0"/>
          <w:divBdr>
            <w:top w:val="none" w:sz="0" w:space="0" w:color="auto"/>
            <w:left w:val="none" w:sz="0" w:space="0" w:color="auto"/>
            <w:bottom w:val="none" w:sz="0" w:space="0" w:color="auto"/>
            <w:right w:val="none" w:sz="0" w:space="0" w:color="auto"/>
          </w:divBdr>
        </w:div>
        <w:div w:id="217592497">
          <w:marLeft w:val="0"/>
          <w:marRight w:val="0"/>
          <w:marTop w:val="0"/>
          <w:marBottom w:val="0"/>
          <w:divBdr>
            <w:top w:val="none" w:sz="0" w:space="0" w:color="auto"/>
            <w:left w:val="none" w:sz="0" w:space="0" w:color="auto"/>
            <w:bottom w:val="none" w:sz="0" w:space="0" w:color="auto"/>
            <w:right w:val="none" w:sz="0" w:space="0" w:color="auto"/>
          </w:divBdr>
        </w:div>
        <w:div w:id="1293292291">
          <w:marLeft w:val="0"/>
          <w:marRight w:val="0"/>
          <w:marTop w:val="0"/>
          <w:marBottom w:val="0"/>
          <w:divBdr>
            <w:top w:val="none" w:sz="0" w:space="0" w:color="auto"/>
            <w:left w:val="none" w:sz="0" w:space="0" w:color="auto"/>
            <w:bottom w:val="none" w:sz="0" w:space="0" w:color="auto"/>
            <w:right w:val="none" w:sz="0" w:space="0" w:color="auto"/>
          </w:divBdr>
        </w:div>
        <w:div w:id="1478449082">
          <w:marLeft w:val="0"/>
          <w:marRight w:val="0"/>
          <w:marTop w:val="0"/>
          <w:marBottom w:val="0"/>
          <w:divBdr>
            <w:top w:val="none" w:sz="0" w:space="0" w:color="auto"/>
            <w:left w:val="none" w:sz="0" w:space="0" w:color="auto"/>
            <w:bottom w:val="none" w:sz="0" w:space="0" w:color="auto"/>
            <w:right w:val="none" w:sz="0" w:space="0" w:color="auto"/>
          </w:divBdr>
        </w:div>
        <w:div w:id="197787667">
          <w:marLeft w:val="0"/>
          <w:marRight w:val="0"/>
          <w:marTop w:val="0"/>
          <w:marBottom w:val="0"/>
          <w:divBdr>
            <w:top w:val="none" w:sz="0" w:space="0" w:color="auto"/>
            <w:left w:val="none" w:sz="0" w:space="0" w:color="auto"/>
            <w:bottom w:val="none" w:sz="0" w:space="0" w:color="auto"/>
            <w:right w:val="none" w:sz="0" w:space="0" w:color="auto"/>
          </w:divBdr>
        </w:div>
        <w:div w:id="1526750369">
          <w:marLeft w:val="0"/>
          <w:marRight w:val="0"/>
          <w:marTop w:val="0"/>
          <w:marBottom w:val="0"/>
          <w:divBdr>
            <w:top w:val="none" w:sz="0" w:space="0" w:color="auto"/>
            <w:left w:val="none" w:sz="0" w:space="0" w:color="auto"/>
            <w:bottom w:val="none" w:sz="0" w:space="0" w:color="auto"/>
            <w:right w:val="none" w:sz="0" w:space="0" w:color="auto"/>
          </w:divBdr>
        </w:div>
        <w:div w:id="1062561628">
          <w:marLeft w:val="0"/>
          <w:marRight w:val="0"/>
          <w:marTop w:val="0"/>
          <w:marBottom w:val="0"/>
          <w:divBdr>
            <w:top w:val="none" w:sz="0" w:space="0" w:color="auto"/>
            <w:left w:val="none" w:sz="0" w:space="0" w:color="auto"/>
            <w:bottom w:val="none" w:sz="0" w:space="0" w:color="auto"/>
            <w:right w:val="none" w:sz="0" w:space="0" w:color="auto"/>
          </w:divBdr>
        </w:div>
        <w:div w:id="1462923127">
          <w:marLeft w:val="0"/>
          <w:marRight w:val="0"/>
          <w:marTop w:val="0"/>
          <w:marBottom w:val="0"/>
          <w:divBdr>
            <w:top w:val="none" w:sz="0" w:space="0" w:color="auto"/>
            <w:left w:val="none" w:sz="0" w:space="0" w:color="auto"/>
            <w:bottom w:val="none" w:sz="0" w:space="0" w:color="auto"/>
            <w:right w:val="none" w:sz="0" w:space="0" w:color="auto"/>
          </w:divBdr>
        </w:div>
        <w:div w:id="1147670920">
          <w:marLeft w:val="0"/>
          <w:marRight w:val="0"/>
          <w:marTop w:val="0"/>
          <w:marBottom w:val="0"/>
          <w:divBdr>
            <w:top w:val="none" w:sz="0" w:space="0" w:color="auto"/>
            <w:left w:val="none" w:sz="0" w:space="0" w:color="auto"/>
            <w:bottom w:val="none" w:sz="0" w:space="0" w:color="auto"/>
            <w:right w:val="none" w:sz="0" w:space="0" w:color="auto"/>
          </w:divBdr>
        </w:div>
        <w:div w:id="464351370">
          <w:marLeft w:val="0"/>
          <w:marRight w:val="0"/>
          <w:marTop w:val="0"/>
          <w:marBottom w:val="0"/>
          <w:divBdr>
            <w:top w:val="none" w:sz="0" w:space="0" w:color="auto"/>
            <w:left w:val="none" w:sz="0" w:space="0" w:color="auto"/>
            <w:bottom w:val="none" w:sz="0" w:space="0" w:color="auto"/>
            <w:right w:val="none" w:sz="0" w:space="0" w:color="auto"/>
          </w:divBdr>
        </w:div>
        <w:div w:id="140344396">
          <w:marLeft w:val="0"/>
          <w:marRight w:val="0"/>
          <w:marTop w:val="0"/>
          <w:marBottom w:val="0"/>
          <w:divBdr>
            <w:top w:val="none" w:sz="0" w:space="0" w:color="auto"/>
            <w:left w:val="none" w:sz="0" w:space="0" w:color="auto"/>
            <w:bottom w:val="none" w:sz="0" w:space="0" w:color="auto"/>
            <w:right w:val="none" w:sz="0" w:space="0" w:color="auto"/>
          </w:divBdr>
        </w:div>
      </w:divsChild>
    </w:div>
    <w:div w:id="410549244">
      <w:bodyDiv w:val="1"/>
      <w:marLeft w:val="0"/>
      <w:marRight w:val="0"/>
      <w:marTop w:val="0"/>
      <w:marBottom w:val="0"/>
      <w:divBdr>
        <w:top w:val="none" w:sz="0" w:space="0" w:color="auto"/>
        <w:left w:val="none" w:sz="0" w:space="0" w:color="auto"/>
        <w:bottom w:val="none" w:sz="0" w:space="0" w:color="auto"/>
        <w:right w:val="none" w:sz="0" w:space="0" w:color="auto"/>
      </w:divBdr>
    </w:div>
    <w:div w:id="433479136">
      <w:bodyDiv w:val="1"/>
      <w:marLeft w:val="0"/>
      <w:marRight w:val="0"/>
      <w:marTop w:val="0"/>
      <w:marBottom w:val="0"/>
      <w:divBdr>
        <w:top w:val="none" w:sz="0" w:space="0" w:color="auto"/>
        <w:left w:val="none" w:sz="0" w:space="0" w:color="auto"/>
        <w:bottom w:val="none" w:sz="0" w:space="0" w:color="auto"/>
        <w:right w:val="none" w:sz="0" w:space="0" w:color="auto"/>
      </w:divBdr>
    </w:div>
    <w:div w:id="437412950">
      <w:bodyDiv w:val="1"/>
      <w:marLeft w:val="0"/>
      <w:marRight w:val="0"/>
      <w:marTop w:val="0"/>
      <w:marBottom w:val="0"/>
      <w:divBdr>
        <w:top w:val="none" w:sz="0" w:space="0" w:color="auto"/>
        <w:left w:val="none" w:sz="0" w:space="0" w:color="auto"/>
        <w:bottom w:val="none" w:sz="0" w:space="0" w:color="auto"/>
        <w:right w:val="none" w:sz="0" w:space="0" w:color="auto"/>
      </w:divBdr>
    </w:div>
    <w:div w:id="443769753">
      <w:bodyDiv w:val="1"/>
      <w:marLeft w:val="0"/>
      <w:marRight w:val="0"/>
      <w:marTop w:val="0"/>
      <w:marBottom w:val="0"/>
      <w:divBdr>
        <w:top w:val="none" w:sz="0" w:space="0" w:color="auto"/>
        <w:left w:val="none" w:sz="0" w:space="0" w:color="auto"/>
        <w:bottom w:val="none" w:sz="0" w:space="0" w:color="auto"/>
        <w:right w:val="none" w:sz="0" w:space="0" w:color="auto"/>
      </w:divBdr>
    </w:div>
    <w:div w:id="453333535">
      <w:bodyDiv w:val="1"/>
      <w:marLeft w:val="0"/>
      <w:marRight w:val="0"/>
      <w:marTop w:val="0"/>
      <w:marBottom w:val="0"/>
      <w:divBdr>
        <w:top w:val="none" w:sz="0" w:space="0" w:color="auto"/>
        <w:left w:val="none" w:sz="0" w:space="0" w:color="auto"/>
        <w:bottom w:val="none" w:sz="0" w:space="0" w:color="auto"/>
        <w:right w:val="none" w:sz="0" w:space="0" w:color="auto"/>
      </w:divBdr>
    </w:div>
    <w:div w:id="464851841">
      <w:bodyDiv w:val="1"/>
      <w:marLeft w:val="0"/>
      <w:marRight w:val="0"/>
      <w:marTop w:val="0"/>
      <w:marBottom w:val="0"/>
      <w:divBdr>
        <w:top w:val="none" w:sz="0" w:space="0" w:color="auto"/>
        <w:left w:val="none" w:sz="0" w:space="0" w:color="auto"/>
        <w:bottom w:val="none" w:sz="0" w:space="0" w:color="auto"/>
        <w:right w:val="none" w:sz="0" w:space="0" w:color="auto"/>
      </w:divBdr>
    </w:div>
    <w:div w:id="482162841">
      <w:bodyDiv w:val="1"/>
      <w:marLeft w:val="0"/>
      <w:marRight w:val="0"/>
      <w:marTop w:val="0"/>
      <w:marBottom w:val="0"/>
      <w:divBdr>
        <w:top w:val="none" w:sz="0" w:space="0" w:color="auto"/>
        <w:left w:val="none" w:sz="0" w:space="0" w:color="auto"/>
        <w:bottom w:val="none" w:sz="0" w:space="0" w:color="auto"/>
        <w:right w:val="none" w:sz="0" w:space="0" w:color="auto"/>
      </w:divBdr>
      <w:divsChild>
        <w:div w:id="1236284951">
          <w:marLeft w:val="0"/>
          <w:marRight w:val="0"/>
          <w:marTop w:val="0"/>
          <w:marBottom w:val="0"/>
          <w:divBdr>
            <w:top w:val="none" w:sz="0" w:space="0" w:color="auto"/>
            <w:left w:val="none" w:sz="0" w:space="0" w:color="auto"/>
            <w:bottom w:val="none" w:sz="0" w:space="0" w:color="auto"/>
            <w:right w:val="none" w:sz="0" w:space="0" w:color="auto"/>
          </w:divBdr>
        </w:div>
        <w:div w:id="508108384">
          <w:marLeft w:val="0"/>
          <w:marRight w:val="0"/>
          <w:marTop w:val="0"/>
          <w:marBottom w:val="0"/>
          <w:divBdr>
            <w:top w:val="none" w:sz="0" w:space="0" w:color="auto"/>
            <w:left w:val="none" w:sz="0" w:space="0" w:color="auto"/>
            <w:bottom w:val="none" w:sz="0" w:space="0" w:color="auto"/>
            <w:right w:val="none" w:sz="0" w:space="0" w:color="auto"/>
          </w:divBdr>
        </w:div>
        <w:div w:id="1573662371">
          <w:marLeft w:val="0"/>
          <w:marRight w:val="0"/>
          <w:marTop w:val="0"/>
          <w:marBottom w:val="0"/>
          <w:divBdr>
            <w:top w:val="none" w:sz="0" w:space="0" w:color="auto"/>
            <w:left w:val="none" w:sz="0" w:space="0" w:color="auto"/>
            <w:bottom w:val="none" w:sz="0" w:space="0" w:color="auto"/>
            <w:right w:val="none" w:sz="0" w:space="0" w:color="auto"/>
          </w:divBdr>
        </w:div>
        <w:div w:id="744492094">
          <w:marLeft w:val="0"/>
          <w:marRight w:val="0"/>
          <w:marTop w:val="0"/>
          <w:marBottom w:val="0"/>
          <w:divBdr>
            <w:top w:val="none" w:sz="0" w:space="0" w:color="auto"/>
            <w:left w:val="none" w:sz="0" w:space="0" w:color="auto"/>
            <w:bottom w:val="none" w:sz="0" w:space="0" w:color="auto"/>
            <w:right w:val="none" w:sz="0" w:space="0" w:color="auto"/>
          </w:divBdr>
        </w:div>
        <w:div w:id="1082333237">
          <w:marLeft w:val="0"/>
          <w:marRight w:val="0"/>
          <w:marTop w:val="0"/>
          <w:marBottom w:val="0"/>
          <w:divBdr>
            <w:top w:val="none" w:sz="0" w:space="0" w:color="auto"/>
            <w:left w:val="none" w:sz="0" w:space="0" w:color="auto"/>
            <w:bottom w:val="none" w:sz="0" w:space="0" w:color="auto"/>
            <w:right w:val="none" w:sz="0" w:space="0" w:color="auto"/>
          </w:divBdr>
        </w:div>
        <w:div w:id="964696914">
          <w:marLeft w:val="0"/>
          <w:marRight w:val="0"/>
          <w:marTop w:val="0"/>
          <w:marBottom w:val="0"/>
          <w:divBdr>
            <w:top w:val="none" w:sz="0" w:space="0" w:color="auto"/>
            <w:left w:val="none" w:sz="0" w:space="0" w:color="auto"/>
            <w:bottom w:val="none" w:sz="0" w:space="0" w:color="auto"/>
            <w:right w:val="none" w:sz="0" w:space="0" w:color="auto"/>
          </w:divBdr>
        </w:div>
        <w:div w:id="899637944">
          <w:marLeft w:val="0"/>
          <w:marRight w:val="0"/>
          <w:marTop w:val="0"/>
          <w:marBottom w:val="0"/>
          <w:divBdr>
            <w:top w:val="none" w:sz="0" w:space="0" w:color="auto"/>
            <w:left w:val="none" w:sz="0" w:space="0" w:color="auto"/>
            <w:bottom w:val="none" w:sz="0" w:space="0" w:color="auto"/>
            <w:right w:val="none" w:sz="0" w:space="0" w:color="auto"/>
          </w:divBdr>
        </w:div>
        <w:div w:id="1620406032">
          <w:marLeft w:val="0"/>
          <w:marRight w:val="0"/>
          <w:marTop w:val="0"/>
          <w:marBottom w:val="0"/>
          <w:divBdr>
            <w:top w:val="none" w:sz="0" w:space="0" w:color="auto"/>
            <w:left w:val="none" w:sz="0" w:space="0" w:color="auto"/>
            <w:bottom w:val="none" w:sz="0" w:space="0" w:color="auto"/>
            <w:right w:val="none" w:sz="0" w:space="0" w:color="auto"/>
          </w:divBdr>
        </w:div>
        <w:div w:id="1415321872">
          <w:marLeft w:val="0"/>
          <w:marRight w:val="0"/>
          <w:marTop w:val="0"/>
          <w:marBottom w:val="0"/>
          <w:divBdr>
            <w:top w:val="none" w:sz="0" w:space="0" w:color="auto"/>
            <w:left w:val="none" w:sz="0" w:space="0" w:color="auto"/>
            <w:bottom w:val="none" w:sz="0" w:space="0" w:color="auto"/>
            <w:right w:val="none" w:sz="0" w:space="0" w:color="auto"/>
          </w:divBdr>
        </w:div>
        <w:div w:id="431363134">
          <w:marLeft w:val="0"/>
          <w:marRight w:val="0"/>
          <w:marTop w:val="0"/>
          <w:marBottom w:val="0"/>
          <w:divBdr>
            <w:top w:val="none" w:sz="0" w:space="0" w:color="auto"/>
            <w:left w:val="none" w:sz="0" w:space="0" w:color="auto"/>
            <w:bottom w:val="none" w:sz="0" w:space="0" w:color="auto"/>
            <w:right w:val="none" w:sz="0" w:space="0" w:color="auto"/>
          </w:divBdr>
        </w:div>
        <w:div w:id="555580494">
          <w:marLeft w:val="0"/>
          <w:marRight w:val="0"/>
          <w:marTop w:val="0"/>
          <w:marBottom w:val="0"/>
          <w:divBdr>
            <w:top w:val="none" w:sz="0" w:space="0" w:color="auto"/>
            <w:left w:val="none" w:sz="0" w:space="0" w:color="auto"/>
            <w:bottom w:val="none" w:sz="0" w:space="0" w:color="auto"/>
            <w:right w:val="none" w:sz="0" w:space="0" w:color="auto"/>
          </w:divBdr>
        </w:div>
        <w:div w:id="2087993642">
          <w:marLeft w:val="0"/>
          <w:marRight w:val="0"/>
          <w:marTop w:val="0"/>
          <w:marBottom w:val="0"/>
          <w:divBdr>
            <w:top w:val="none" w:sz="0" w:space="0" w:color="auto"/>
            <w:left w:val="none" w:sz="0" w:space="0" w:color="auto"/>
            <w:bottom w:val="none" w:sz="0" w:space="0" w:color="auto"/>
            <w:right w:val="none" w:sz="0" w:space="0" w:color="auto"/>
          </w:divBdr>
        </w:div>
        <w:div w:id="216818659">
          <w:marLeft w:val="0"/>
          <w:marRight w:val="0"/>
          <w:marTop w:val="0"/>
          <w:marBottom w:val="0"/>
          <w:divBdr>
            <w:top w:val="none" w:sz="0" w:space="0" w:color="auto"/>
            <w:left w:val="none" w:sz="0" w:space="0" w:color="auto"/>
            <w:bottom w:val="none" w:sz="0" w:space="0" w:color="auto"/>
            <w:right w:val="none" w:sz="0" w:space="0" w:color="auto"/>
          </w:divBdr>
        </w:div>
        <w:div w:id="866138161">
          <w:marLeft w:val="0"/>
          <w:marRight w:val="0"/>
          <w:marTop w:val="0"/>
          <w:marBottom w:val="0"/>
          <w:divBdr>
            <w:top w:val="none" w:sz="0" w:space="0" w:color="auto"/>
            <w:left w:val="none" w:sz="0" w:space="0" w:color="auto"/>
            <w:bottom w:val="none" w:sz="0" w:space="0" w:color="auto"/>
            <w:right w:val="none" w:sz="0" w:space="0" w:color="auto"/>
          </w:divBdr>
        </w:div>
        <w:div w:id="924605657">
          <w:marLeft w:val="0"/>
          <w:marRight w:val="0"/>
          <w:marTop w:val="0"/>
          <w:marBottom w:val="0"/>
          <w:divBdr>
            <w:top w:val="none" w:sz="0" w:space="0" w:color="auto"/>
            <w:left w:val="none" w:sz="0" w:space="0" w:color="auto"/>
            <w:bottom w:val="none" w:sz="0" w:space="0" w:color="auto"/>
            <w:right w:val="none" w:sz="0" w:space="0" w:color="auto"/>
          </w:divBdr>
        </w:div>
        <w:div w:id="112672201">
          <w:marLeft w:val="0"/>
          <w:marRight w:val="0"/>
          <w:marTop w:val="0"/>
          <w:marBottom w:val="0"/>
          <w:divBdr>
            <w:top w:val="none" w:sz="0" w:space="0" w:color="auto"/>
            <w:left w:val="none" w:sz="0" w:space="0" w:color="auto"/>
            <w:bottom w:val="none" w:sz="0" w:space="0" w:color="auto"/>
            <w:right w:val="none" w:sz="0" w:space="0" w:color="auto"/>
          </w:divBdr>
        </w:div>
        <w:div w:id="1329595895">
          <w:marLeft w:val="0"/>
          <w:marRight w:val="0"/>
          <w:marTop w:val="0"/>
          <w:marBottom w:val="0"/>
          <w:divBdr>
            <w:top w:val="none" w:sz="0" w:space="0" w:color="auto"/>
            <w:left w:val="none" w:sz="0" w:space="0" w:color="auto"/>
            <w:bottom w:val="none" w:sz="0" w:space="0" w:color="auto"/>
            <w:right w:val="none" w:sz="0" w:space="0" w:color="auto"/>
          </w:divBdr>
        </w:div>
        <w:div w:id="1452896448">
          <w:marLeft w:val="0"/>
          <w:marRight w:val="0"/>
          <w:marTop w:val="0"/>
          <w:marBottom w:val="0"/>
          <w:divBdr>
            <w:top w:val="none" w:sz="0" w:space="0" w:color="auto"/>
            <w:left w:val="none" w:sz="0" w:space="0" w:color="auto"/>
            <w:bottom w:val="none" w:sz="0" w:space="0" w:color="auto"/>
            <w:right w:val="none" w:sz="0" w:space="0" w:color="auto"/>
          </w:divBdr>
        </w:div>
        <w:div w:id="577715772">
          <w:marLeft w:val="0"/>
          <w:marRight w:val="0"/>
          <w:marTop w:val="0"/>
          <w:marBottom w:val="0"/>
          <w:divBdr>
            <w:top w:val="none" w:sz="0" w:space="0" w:color="auto"/>
            <w:left w:val="none" w:sz="0" w:space="0" w:color="auto"/>
            <w:bottom w:val="none" w:sz="0" w:space="0" w:color="auto"/>
            <w:right w:val="none" w:sz="0" w:space="0" w:color="auto"/>
          </w:divBdr>
        </w:div>
        <w:div w:id="338655522">
          <w:marLeft w:val="0"/>
          <w:marRight w:val="0"/>
          <w:marTop w:val="0"/>
          <w:marBottom w:val="0"/>
          <w:divBdr>
            <w:top w:val="none" w:sz="0" w:space="0" w:color="auto"/>
            <w:left w:val="none" w:sz="0" w:space="0" w:color="auto"/>
            <w:bottom w:val="none" w:sz="0" w:space="0" w:color="auto"/>
            <w:right w:val="none" w:sz="0" w:space="0" w:color="auto"/>
          </w:divBdr>
        </w:div>
        <w:div w:id="697044870">
          <w:marLeft w:val="0"/>
          <w:marRight w:val="0"/>
          <w:marTop w:val="0"/>
          <w:marBottom w:val="0"/>
          <w:divBdr>
            <w:top w:val="none" w:sz="0" w:space="0" w:color="auto"/>
            <w:left w:val="none" w:sz="0" w:space="0" w:color="auto"/>
            <w:bottom w:val="none" w:sz="0" w:space="0" w:color="auto"/>
            <w:right w:val="none" w:sz="0" w:space="0" w:color="auto"/>
          </w:divBdr>
        </w:div>
      </w:divsChild>
    </w:div>
    <w:div w:id="484202394">
      <w:bodyDiv w:val="1"/>
      <w:marLeft w:val="0"/>
      <w:marRight w:val="0"/>
      <w:marTop w:val="0"/>
      <w:marBottom w:val="0"/>
      <w:divBdr>
        <w:top w:val="none" w:sz="0" w:space="0" w:color="auto"/>
        <w:left w:val="none" w:sz="0" w:space="0" w:color="auto"/>
        <w:bottom w:val="none" w:sz="0" w:space="0" w:color="auto"/>
        <w:right w:val="none" w:sz="0" w:space="0" w:color="auto"/>
      </w:divBdr>
    </w:div>
    <w:div w:id="495339272">
      <w:bodyDiv w:val="1"/>
      <w:marLeft w:val="0"/>
      <w:marRight w:val="0"/>
      <w:marTop w:val="0"/>
      <w:marBottom w:val="0"/>
      <w:divBdr>
        <w:top w:val="none" w:sz="0" w:space="0" w:color="auto"/>
        <w:left w:val="none" w:sz="0" w:space="0" w:color="auto"/>
        <w:bottom w:val="none" w:sz="0" w:space="0" w:color="auto"/>
        <w:right w:val="none" w:sz="0" w:space="0" w:color="auto"/>
      </w:divBdr>
    </w:div>
    <w:div w:id="496307172">
      <w:bodyDiv w:val="1"/>
      <w:marLeft w:val="0"/>
      <w:marRight w:val="0"/>
      <w:marTop w:val="0"/>
      <w:marBottom w:val="0"/>
      <w:divBdr>
        <w:top w:val="none" w:sz="0" w:space="0" w:color="auto"/>
        <w:left w:val="none" w:sz="0" w:space="0" w:color="auto"/>
        <w:bottom w:val="none" w:sz="0" w:space="0" w:color="auto"/>
        <w:right w:val="none" w:sz="0" w:space="0" w:color="auto"/>
      </w:divBdr>
    </w:div>
    <w:div w:id="502206623">
      <w:bodyDiv w:val="1"/>
      <w:marLeft w:val="0"/>
      <w:marRight w:val="0"/>
      <w:marTop w:val="0"/>
      <w:marBottom w:val="0"/>
      <w:divBdr>
        <w:top w:val="none" w:sz="0" w:space="0" w:color="auto"/>
        <w:left w:val="none" w:sz="0" w:space="0" w:color="auto"/>
        <w:bottom w:val="none" w:sz="0" w:space="0" w:color="auto"/>
        <w:right w:val="none" w:sz="0" w:space="0" w:color="auto"/>
      </w:divBdr>
    </w:div>
    <w:div w:id="509759914">
      <w:bodyDiv w:val="1"/>
      <w:marLeft w:val="0"/>
      <w:marRight w:val="0"/>
      <w:marTop w:val="0"/>
      <w:marBottom w:val="0"/>
      <w:divBdr>
        <w:top w:val="none" w:sz="0" w:space="0" w:color="auto"/>
        <w:left w:val="none" w:sz="0" w:space="0" w:color="auto"/>
        <w:bottom w:val="none" w:sz="0" w:space="0" w:color="auto"/>
        <w:right w:val="none" w:sz="0" w:space="0" w:color="auto"/>
      </w:divBdr>
    </w:div>
    <w:div w:id="519394470">
      <w:bodyDiv w:val="1"/>
      <w:marLeft w:val="0"/>
      <w:marRight w:val="0"/>
      <w:marTop w:val="0"/>
      <w:marBottom w:val="0"/>
      <w:divBdr>
        <w:top w:val="none" w:sz="0" w:space="0" w:color="auto"/>
        <w:left w:val="none" w:sz="0" w:space="0" w:color="auto"/>
        <w:bottom w:val="none" w:sz="0" w:space="0" w:color="auto"/>
        <w:right w:val="none" w:sz="0" w:space="0" w:color="auto"/>
      </w:divBdr>
    </w:div>
    <w:div w:id="526915880">
      <w:bodyDiv w:val="1"/>
      <w:marLeft w:val="0"/>
      <w:marRight w:val="0"/>
      <w:marTop w:val="0"/>
      <w:marBottom w:val="0"/>
      <w:divBdr>
        <w:top w:val="none" w:sz="0" w:space="0" w:color="auto"/>
        <w:left w:val="none" w:sz="0" w:space="0" w:color="auto"/>
        <w:bottom w:val="none" w:sz="0" w:space="0" w:color="auto"/>
        <w:right w:val="none" w:sz="0" w:space="0" w:color="auto"/>
      </w:divBdr>
    </w:div>
    <w:div w:id="531311349">
      <w:bodyDiv w:val="1"/>
      <w:marLeft w:val="0"/>
      <w:marRight w:val="0"/>
      <w:marTop w:val="0"/>
      <w:marBottom w:val="0"/>
      <w:divBdr>
        <w:top w:val="none" w:sz="0" w:space="0" w:color="auto"/>
        <w:left w:val="none" w:sz="0" w:space="0" w:color="auto"/>
        <w:bottom w:val="none" w:sz="0" w:space="0" w:color="auto"/>
        <w:right w:val="none" w:sz="0" w:space="0" w:color="auto"/>
      </w:divBdr>
    </w:div>
    <w:div w:id="541209276">
      <w:bodyDiv w:val="1"/>
      <w:marLeft w:val="0"/>
      <w:marRight w:val="0"/>
      <w:marTop w:val="0"/>
      <w:marBottom w:val="0"/>
      <w:divBdr>
        <w:top w:val="none" w:sz="0" w:space="0" w:color="auto"/>
        <w:left w:val="none" w:sz="0" w:space="0" w:color="auto"/>
        <w:bottom w:val="none" w:sz="0" w:space="0" w:color="auto"/>
        <w:right w:val="none" w:sz="0" w:space="0" w:color="auto"/>
      </w:divBdr>
    </w:div>
    <w:div w:id="546533170">
      <w:bodyDiv w:val="1"/>
      <w:marLeft w:val="0"/>
      <w:marRight w:val="0"/>
      <w:marTop w:val="0"/>
      <w:marBottom w:val="0"/>
      <w:divBdr>
        <w:top w:val="none" w:sz="0" w:space="0" w:color="auto"/>
        <w:left w:val="none" w:sz="0" w:space="0" w:color="auto"/>
        <w:bottom w:val="none" w:sz="0" w:space="0" w:color="auto"/>
        <w:right w:val="none" w:sz="0" w:space="0" w:color="auto"/>
      </w:divBdr>
    </w:div>
    <w:div w:id="548956770">
      <w:bodyDiv w:val="1"/>
      <w:marLeft w:val="0"/>
      <w:marRight w:val="0"/>
      <w:marTop w:val="0"/>
      <w:marBottom w:val="0"/>
      <w:divBdr>
        <w:top w:val="none" w:sz="0" w:space="0" w:color="auto"/>
        <w:left w:val="none" w:sz="0" w:space="0" w:color="auto"/>
        <w:bottom w:val="none" w:sz="0" w:space="0" w:color="auto"/>
        <w:right w:val="none" w:sz="0" w:space="0" w:color="auto"/>
      </w:divBdr>
    </w:div>
    <w:div w:id="575096176">
      <w:bodyDiv w:val="1"/>
      <w:marLeft w:val="0"/>
      <w:marRight w:val="0"/>
      <w:marTop w:val="0"/>
      <w:marBottom w:val="0"/>
      <w:divBdr>
        <w:top w:val="none" w:sz="0" w:space="0" w:color="auto"/>
        <w:left w:val="none" w:sz="0" w:space="0" w:color="auto"/>
        <w:bottom w:val="none" w:sz="0" w:space="0" w:color="auto"/>
        <w:right w:val="none" w:sz="0" w:space="0" w:color="auto"/>
      </w:divBdr>
    </w:div>
    <w:div w:id="621108129">
      <w:bodyDiv w:val="1"/>
      <w:marLeft w:val="0"/>
      <w:marRight w:val="0"/>
      <w:marTop w:val="0"/>
      <w:marBottom w:val="0"/>
      <w:divBdr>
        <w:top w:val="none" w:sz="0" w:space="0" w:color="auto"/>
        <w:left w:val="none" w:sz="0" w:space="0" w:color="auto"/>
        <w:bottom w:val="none" w:sz="0" w:space="0" w:color="auto"/>
        <w:right w:val="none" w:sz="0" w:space="0" w:color="auto"/>
      </w:divBdr>
    </w:div>
    <w:div w:id="621307806">
      <w:bodyDiv w:val="1"/>
      <w:marLeft w:val="0"/>
      <w:marRight w:val="0"/>
      <w:marTop w:val="0"/>
      <w:marBottom w:val="0"/>
      <w:divBdr>
        <w:top w:val="none" w:sz="0" w:space="0" w:color="auto"/>
        <w:left w:val="none" w:sz="0" w:space="0" w:color="auto"/>
        <w:bottom w:val="none" w:sz="0" w:space="0" w:color="auto"/>
        <w:right w:val="none" w:sz="0" w:space="0" w:color="auto"/>
      </w:divBdr>
    </w:div>
    <w:div w:id="633484035">
      <w:bodyDiv w:val="1"/>
      <w:marLeft w:val="0"/>
      <w:marRight w:val="0"/>
      <w:marTop w:val="0"/>
      <w:marBottom w:val="0"/>
      <w:divBdr>
        <w:top w:val="none" w:sz="0" w:space="0" w:color="auto"/>
        <w:left w:val="none" w:sz="0" w:space="0" w:color="auto"/>
        <w:bottom w:val="none" w:sz="0" w:space="0" w:color="auto"/>
        <w:right w:val="none" w:sz="0" w:space="0" w:color="auto"/>
      </w:divBdr>
    </w:div>
    <w:div w:id="650064270">
      <w:bodyDiv w:val="1"/>
      <w:marLeft w:val="0"/>
      <w:marRight w:val="0"/>
      <w:marTop w:val="0"/>
      <w:marBottom w:val="0"/>
      <w:divBdr>
        <w:top w:val="none" w:sz="0" w:space="0" w:color="auto"/>
        <w:left w:val="none" w:sz="0" w:space="0" w:color="auto"/>
        <w:bottom w:val="none" w:sz="0" w:space="0" w:color="auto"/>
        <w:right w:val="none" w:sz="0" w:space="0" w:color="auto"/>
      </w:divBdr>
    </w:div>
    <w:div w:id="655035367">
      <w:bodyDiv w:val="1"/>
      <w:marLeft w:val="0"/>
      <w:marRight w:val="0"/>
      <w:marTop w:val="0"/>
      <w:marBottom w:val="0"/>
      <w:divBdr>
        <w:top w:val="none" w:sz="0" w:space="0" w:color="auto"/>
        <w:left w:val="none" w:sz="0" w:space="0" w:color="auto"/>
        <w:bottom w:val="none" w:sz="0" w:space="0" w:color="auto"/>
        <w:right w:val="none" w:sz="0" w:space="0" w:color="auto"/>
      </w:divBdr>
    </w:div>
    <w:div w:id="674957851">
      <w:bodyDiv w:val="1"/>
      <w:marLeft w:val="0"/>
      <w:marRight w:val="0"/>
      <w:marTop w:val="0"/>
      <w:marBottom w:val="0"/>
      <w:divBdr>
        <w:top w:val="none" w:sz="0" w:space="0" w:color="auto"/>
        <w:left w:val="none" w:sz="0" w:space="0" w:color="auto"/>
        <w:bottom w:val="none" w:sz="0" w:space="0" w:color="auto"/>
        <w:right w:val="none" w:sz="0" w:space="0" w:color="auto"/>
      </w:divBdr>
      <w:divsChild>
        <w:div w:id="48890910">
          <w:marLeft w:val="0"/>
          <w:marRight w:val="0"/>
          <w:marTop w:val="0"/>
          <w:marBottom w:val="0"/>
          <w:divBdr>
            <w:top w:val="none" w:sz="0" w:space="0" w:color="auto"/>
            <w:left w:val="none" w:sz="0" w:space="0" w:color="auto"/>
            <w:bottom w:val="none" w:sz="0" w:space="0" w:color="auto"/>
            <w:right w:val="none" w:sz="0" w:space="0" w:color="auto"/>
          </w:divBdr>
        </w:div>
        <w:div w:id="144511818">
          <w:marLeft w:val="0"/>
          <w:marRight w:val="0"/>
          <w:marTop w:val="0"/>
          <w:marBottom w:val="0"/>
          <w:divBdr>
            <w:top w:val="none" w:sz="0" w:space="0" w:color="auto"/>
            <w:left w:val="none" w:sz="0" w:space="0" w:color="auto"/>
            <w:bottom w:val="none" w:sz="0" w:space="0" w:color="auto"/>
            <w:right w:val="none" w:sz="0" w:space="0" w:color="auto"/>
          </w:divBdr>
        </w:div>
        <w:div w:id="247350594">
          <w:marLeft w:val="0"/>
          <w:marRight w:val="0"/>
          <w:marTop w:val="0"/>
          <w:marBottom w:val="0"/>
          <w:divBdr>
            <w:top w:val="none" w:sz="0" w:space="0" w:color="auto"/>
            <w:left w:val="none" w:sz="0" w:space="0" w:color="auto"/>
            <w:bottom w:val="none" w:sz="0" w:space="0" w:color="auto"/>
            <w:right w:val="none" w:sz="0" w:space="0" w:color="auto"/>
          </w:divBdr>
        </w:div>
        <w:div w:id="318845745">
          <w:marLeft w:val="0"/>
          <w:marRight w:val="0"/>
          <w:marTop w:val="0"/>
          <w:marBottom w:val="0"/>
          <w:divBdr>
            <w:top w:val="none" w:sz="0" w:space="0" w:color="auto"/>
            <w:left w:val="none" w:sz="0" w:space="0" w:color="auto"/>
            <w:bottom w:val="none" w:sz="0" w:space="0" w:color="auto"/>
            <w:right w:val="none" w:sz="0" w:space="0" w:color="auto"/>
          </w:divBdr>
        </w:div>
        <w:div w:id="331297088">
          <w:marLeft w:val="0"/>
          <w:marRight w:val="0"/>
          <w:marTop w:val="0"/>
          <w:marBottom w:val="0"/>
          <w:divBdr>
            <w:top w:val="none" w:sz="0" w:space="0" w:color="auto"/>
            <w:left w:val="none" w:sz="0" w:space="0" w:color="auto"/>
            <w:bottom w:val="none" w:sz="0" w:space="0" w:color="auto"/>
            <w:right w:val="none" w:sz="0" w:space="0" w:color="auto"/>
          </w:divBdr>
        </w:div>
        <w:div w:id="375587158">
          <w:marLeft w:val="0"/>
          <w:marRight w:val="0"/>
          <w:marTop w:val="0"/>
          <w:marBottom w:val="0"/>
          <w:divBdr>
            <w:top w:val="none" w:sz="0" w:space="0" w:color="auto"/>
            <w:left w:val="none" w:sz="0" w:space="0" w:color="auto"/>
            <w:bottom w:val="none" w:sz="0" w:space="0" w:color="auto"/>
            <w:right w:val="none" w:sz="0" w:space="0" w:color="auto"/>
          </w:divBdr>
        </w:div>
        <w:div w:id="476804473">
          <w:marLeft w:val="0"/>
          <w:marRight w:val="0"/>
          <w:marTop w:val="0"/>
          <w:marBottom w:val="0"/>
          <w:divBdr>
            <w:top w:val="none" w:sz="0" w:space="0" w:color="auto"/>
            <w:left w:val="none" w:sz="0" w:space="0" w:color="auto"/>
            <w:bottom w:val="none" w:sz="0" w:space="0" w:color="auto"/>
            <w:right w:val="none" w:sz="0" w:space="0" w:color="auto"/>
          </w:divBdr>
        </w:div>
        <w:div w:id="671568310">
          <w:marLeft w:val="0"/>
          <w:marRight w:val="0"/>
          <w:marTop w:val="0"/>
          <w:marBottom w:val="0"/>
          <w:divBdr>
            <w:top w:val="none" w:sz="0" w:space="0" w:color="auto"/>
            <w:left w:val="none" w:sz="0" w:space="0" w:color="auto"/>
            <w:bottom w:val="none" w:sz="0" w:space="0" w:color="auto"/>
            <w:right w:val="none" w:sz="0" w:space="0" w:color="auto"/>
          </w:divBdr>
        </w:div>
        <w:div w:id="705132909">
          <w:marLeft w:val="0"/>
          <w:marRight w:val="0"/>
          <w:marTop w:val="0"/>
          <w:marBottom w:val="0"/>
          <w:divBdr>
            <w:top w:val="none" w:sz="0" w:space="0" w:color="auto"/>
            <w:left w:val="none" w:sz="0" w:space="0" w:color="auto"/>
            <w:bottom w:val="none" w:sz="0" w:space="0" w:color="auto"/>
            <w:right w:val="none" w:sz="0" w:space="0" w:color="auto"/>
          </w:divBdr>
        </w:div>
        <w:div w:id="808279438">
          <w:marLeft w:val="0"/>
          <w:marRight w:val="0"/>
          <w:marTop w:val="0"/>
          <w:marBottom w:val="0"/>
          <w:divBdr>
            <w:top w:val="none" w:sz="0" w:space="0" w:color="auto"/>
            <w:left w:val="none" w:sz="0" w:space="0" w:color="auto"/>
            <w:bottom w:val="none" w:sz="0" w:space="0" w:color="auto"/>
            <w:right w:val="none" w:sz="0" w:space="0" w:color="auto"/>
          </w:divBdr>
        </w:div>
        <w:div w:id="821236555">
          <w:marLeft w:val="0"/>
          <w:marRight w:val="0"/>
          <w:marTop w:val="0"/>
          <w:marBottom w:val="0"/>
          <w:divBdr>
            <w:top w:val="none" w:sz="0" w:space="0" w:color="auto"/>
            <w:left w:val="none" w:sz="0" w:space="0" w:color="auto"/>
            <w:bottom w:val="none" w:sz="0" w:space="0" w:color="auto"/>
            <w:right w:val="none" w:sz="0" w:space="0" w:color="auto"/>
          </w:divBdr>
        </w:div>
        <w:div w:id="869421009">
          <w:marLeft w:val="0"/>
          <w:marRight w:val="0"/>
          <w:marTop w:val="0"/>
          <w:marBottom w:val="0"/>
          <w:divBdr>
            <w:top w:val="none" w:sz="0" w:space="0" w:color="auto"/>
            <w:left w:val="none" w:sz="0" w:space="0" w:color="auto"/>
            <w:bottom w:val="none" w:sz="0" w:space="0" w:color="auto"/>
            <w:right w:val="none" w:sz="0" w:space="0" w:color="auto"/>
          </w:divBdr>
        </w:div>
        <w:div w:id="971518544">
          <w:marLeft w:val="0"/>
          <w:marRight w:val="0"/>
          <w:marTop w:val="0"/>
          <w:marBottom w:val="0"/>
          <w:divBdr>
            <w:top w:val="none" w:sz="0" w:space="0" w:color="auto"/>
            <w:left w:val="none" w:sz="0" w:space="0" w:color="auto"/>
            <w:bottom w:val="none" w:sz="0" w:space="0" w:color="auto"/>
            <w:right w:val="none" w:sz="0" w:space="0" w:color="auto"/>
          </w:divBdr>
        </w:div>
        <w:div w:id="1054891358">
          <w:marLeft w:val="0"/>
          <w:marRight w:val="0"/>
          <w:marTop w:val="0"/>
          <w:marBottom w:val="0"/>
          <w:divBdr>
            <w:top w:val="none" w:sz="0" w:space="0" w:color="auto"/>
            <w:left w:val="none" w:sz="0" w:space="0" w:color="auto"/>
            <w:bottom w:val="none" w:sz="0" w:space="0" w:color="auto"/>
            <w:right w:val="none" w:sz="0" w:space="0" w:color="auto"/>
          </w:divBdr>
        </w:div>
        <w:div w:id="1165051824">
          <w:marLeft w:val="0"/>
          <w:marRight w:val="0"/>
          <w:marTop w:val="0"/>
          <w:marBottom w:val="0"/>
          <w:divBdr>
            <w:top w:val="none" w:sz="0" w:space="0" w:color="auto"/>
            <w:left w:val="none" w:sz="0" w:space="0" w:color="auto"/>
            <w:bottom w:val="none" w:sz="0" w:space="0" w:color="auto"/>
            <w:right w:val="none" w:sz="0" w:space="0" w:color="auto"/>
          </w:divBdr>
        </w:div>
        <w:div w:id="1209103125">
          <w:marLeft w:val="0"/>
          <w:marRight w:val="0"/>
          <w:marTop w:val="0"/>
          <w:marBottom w:val="0"/>
          <w:divBdr>
            <w:top w:val="none" w:sz="0" w:space="0" w:color="auto"/>
            <w:left w:val="none" w:sz="0" w:space="0" w:color="auto"/>
            <w:bottom w:val="none" w:sz="0" w:space="0" w:color="auto"/>
            <w:right w:val="none" w:sz="0" w:space="0" w:color="auto"/>
          </w:divBdr>
        </w:div>
        <w:div w:id="1242057132">
          <w:marLeft w:val="0"/>
          <w:marRight w:val="0"/>
          <w:marTop w:val="0"/>
          <w:marBottom w:val="0"/>
          <w:divBdr>
            <w:top w:val="none" w:sz="0" w:space="0" w:color="auto"/>
            <w:left w:val="none" w:sz="0" w:space="0" w:color="auto"/>
            <w:bottom w:val="none" w:sz="0" w:space="0" w:color="auto"/>
            <w:right w:val="none" w:sz="0" w:space="0" w:color="auto"/>
          </w:divBdr>
        </w:div>
        <w:div w:id="1243832365">
          <w:marLeft w:val="0"/>
          <w:marRight w:val="0"/>
          <w:marTop w:val="0"/>
          <w:marBottom w:val="0"/>
          <w:divBdr>
            <w:top w:val="none" w:sz="0" w:space="0" w:color="auto"/>
            <w:left w:val="none" w:sz="0" w:space="0" w:color="auto"/>
            <w:bottom w:val="none" w:sz="0" w:space="0" w:color="auto"/>
            <w:right w:val="none" w:sz="0" w:space="0" w:color="auto"/>
          </w:divBdr>
        </w:div>
        <w:div w:id="1333681185">
          <w:marLeft w:val="0"/>
          <w:marRight w:val="0"/>
          <w:marTop w:val="0"/>
          <w:marBottom w:val="0"/>
          <w:divBdr>
            <w:top w:val="none" w:sz="0" w:space="0" w:color="auto"/>
            <w:left w:val="none" w:sz="0" w:space="0" w:color="auto"/>
            <w:bottom w:val="none" w:sz="0" w:space="0" w:color="auto"/>
            <w:right w:val="none" w:sz="0" w:space="0" w:color="auto"/>
          </w:divBdr>
        </w:div>
        <w:div w:id="1492986573">
          <w:marLeft w:val="0"/>
          <w:marRight w:val="0"/>
          <w:marTop w:val="0"/>
          <w:marBottom w:val="0"/>
          <w:divBdr>
            <w:top w:val="none" w:sz="0" w:space="0" w:color="auto"/>
            <w:left w:val="none" w:sz="0" w:space="0" w:color="auto"/>
            <w:bottom w:val="none" w:sz="0" w:space="0" w:color="auto"/>
            <w:right w:val="none" w:sz="0" w:space="0" w:color="auto"/>
          </w:divBdr>
        </w:div>
        <w:div w:id="1688406359">
          <w:marLeft w:val="0"/>
          <w:marRight w:val="0"/>
          <w:marTop w:val="0"/>
          <w:marBottom w:val="0"/>
          <w:divBdr>
            <w:top w:val="none" w:sz="0" w:space="0" w:color="auto"/>
            <w:left w:val="none" w:sz="0" w:space="0" w:color="auto"/>
            <w:bottom w:val="none" w:sz="0" w:space="0" w:color="auto"/>
            <w:right w:val="none" w:sz="0" w:space="0" w:color="auto"/>
          </w:divBdr>
        </w:div>
        <w:div w:id="1853836838">
          <w:marLeft w:val="0"/>
          <w:marRight w:val="0"/>
          <w:marTop w:val="0"/>
          <w:marBottom w:val="0"/>
          <w:divBdr>
            <w:top w:val="none" w:sz="0" w:space="0" w:color="auto"/>
            <w:left w:val="none" w:sz="0" w:space="0" w:color="auto"/>
            <w:bottom w:val="none" w:sz="0" w:space="0" w:color="auto"/>
            <w:right w:val="none" w:sz="0" w:space="0" w:color="auto"/>
          </w:divBdr>
        </w:div>
        <w:div w:id="1891383707">
          <w:marLeft w:val="0"/>
          <w:marRight w:val="0"/>
          <w:marTop w:val="0"/>
          <w:marBottom w:val="0"/>
          <w:divBdr>
            <w:top w:val="none" w:sz="0" w:space="0" w:color="auto"/>
            <w:left w:val="none" w:sz="0" w:space="0" w:color="auto"/>
            <w:bottom w:val="none" w:sz="0" w:space="0" w:color="auto"/>
            <w:right w:val="none" w:sz="0" w:space="0" w:color="auto"/>
          </w:divBdr>
        </w:div>
        <w:div w:id="1994212221">
          <w:marLeft w:val="0"/>
          <w:marRight w:val="0"/>
          <w:marTop w:val="0"/>
          <w:marBottom w:val="0"/>
          <w:divBdr>
            <w:top w:val="none" w:sz="0" w:space="0" w:color="auto"/>
            <w:left w:val="none" w:sz="0" w:space="0" w:color="auto"/>
            <w:bottom w:val="none" w:sz="0" w:space="0" w:color="auto"/>
            <w:right w:val="none" w:sz="0" w:space="0" w:color="auto"/>
          </w:divBdr>
        </w:div>
        <w:div w:id="2025012265">
          <w:marLeft w:val="0"/>
          <w:marRight w:val="0"/>
          <w:marTop w:val="0"/>
          <w:marBottom w:val="0"/>
          <w:divBdr>
            <w:top w:val="none" w:sz="0" w:space="0" w:color="auto"/>
            <w:left w:val="none" w:sz="0" w:space="0" w:color="auto"/>
            <w:bottom w:val="none" w:sz="0" w:space="0" w:color="auto"/>
            <w:right w:val="none" w:sz="0" w:space="0" w:color="auto"/>
          </w:divBdr>
        </w:div>
        <w:div w:id="2047168937">
          <w:marLeft w:val="0"/>
          <w:marRight w:val="0"/>
          <w:marTop w:val="0"/>
          <w:marBottom w:val="0"/>
          <w:divBdr>
            <w:top w:val="none" w:sz="0" w:space="0" w:color="auto"/>
            <w:left w:val="none" w:sz="0" w:space="0" w:color="auto"/>
            <w:bottom w:val="none" w:sz="0" w:space="0" w:color="auto"/>
            <w:right w:val="none" w:sz="0" w:space="0" w:color="auto"/>
          </w:divBdr>
        </w:div>
        <w:div w:id="2070036324">
          <w:marLeft w:val="0"/>
          <w:marRight w:val="0"/>
          <w:marTop w:val="0"/>
          <w:marBottom w:val="0"/>
          <w:divBdr>
            <w:top w:val="none" w:sz="0" w:space="0" w:color="auto"/>
            <w:left w:val="none" w:sz="0" w:space="0" w:color="auto"/>
            <w:bottom w:val="none" w:sz="0" w:space="0" w:color="auto"/>
            <w:right w:val="none" w:sz="0" w:space="0" w:color="auto"/>
          </w:divBdr>
        </w:div>
        <w:div w:id="2086104588">
          <w:marLeft w:val="0"/>
          <w:marRight w:val="0"/>
          <w:marTop w:val="0"/>
          <w:marBottom w:val="0"/>
          <w:divBdr>
            <w:top w:val="none" w:sz="0" w:space="0" w:color="auto"/>
            <w:left w:val="none" w:sz="0" w:space="0" w:color="auto"/>
            <w:bottom w:val="none" w:sz="0" w:space="0" w:color="auto"/>
            <w:right w:val="none" w:sz="0" w:space="0" w:color="auto"/>
          </w:divBdr>
        </w:div>
        <w:div w:id="2107921981">
          <w:marLeft w:val="0"/>
          <w:marRight w:val="0"/>
          <w:marTop w:val="0"/>
          <w:marBottom w:val="0"/>
          <w:divBdr>
            <w:top w:val="none" w:sz="0" w:space="0" w:color="auto"/>
            <w:left w:val="none" w:sz="0" w:space="0" w:color="auto"/>
            <w:bottom w:val="none" w:sz="0" w:space="0" w:color="auto"/>
            <w:right w:val="none" w:sz="0" w:space="0" w:color="auto"/>
          </w:divBdr>
        </w:div>
      </w:divsChild>
    </w:div>
    <w:div w:id="683481370">
      <w:bodyDiv w:val="1"/>
      <w:marLeft w:val="0"/>
      <w:marRight w:val="0"/>
      <w:marTop w:val="0"/>
      <w:marBottom w:val="0"/>
      <w:divBdr>
        <w:top w:val="none" w:sz="0" w:space="0" w:color="auto"/>
        <w:left w:val="none" w:sz="0" w:space="0" w:color="auto"/>
        <w:bottom w:val="none" w:sz="0" w:space="0" w:color="auto"/>
        <w:right w:val="none" w:sz="0" w:space="0" w:color="auto"/>
      </w:divBdr>
    </w:div>
    <w:div w:id="696783648">
      <w:bodyDiv w:val="1"/>
      <w:marLeft w:val="0"/>
      <w:marRight w:val="0"/>
      <w:marTop w:val="0"/>
      <w:marBottom w:val="0"/>
      <w:divBdr>
        <w:top w:val="none" w:sz="0" w:space="0" w:color="auto"/>
        <w:left w:val="none" w:sz="0" w:space="0" w:color="auto"/>
        <w:bottom w:val="none" w:sz="0" w:space="0" w:color="auto"/>
        <w:right w:val="none" w:sz="0" w:space="0" w:color="auto"/>
      </w:divBdr>
    </w:div>
    <w:div w:id="705527347">
      <w:bodyDiv w:val="1"/>
      <w:marLeft w:val="0"/>
      <w:marRight w:val="0"/>
      <w:marTop w:val="0"/>
      <w:marBottom w:val="0"/>
      <w:divBdr>
        <w:top w:val="none" w:sz="0" w:space="0" w:color="auto"/>
        <w:left w:val="none" w:sz="0" w:space="0" w:color="auto"/>
        <w:bottom w:val="none" w:sz="0" w:space="0" w:color="auto"/>
        <w:right w:val="none" w:sz="0" w:space="0" w:color="auto"/>
      </w:divBdr>
    </w:div>
    <w:div w:id="705718742">
      <w:bodyDiv w:val="1"/>
      <w:marLeft w:val="0"/>
      <w:marRight w:val="0"/>
      <w:marTop w:val="0"/>
      <w:marBottom w:val="0"/>
      <w:divBdr>
        <w:top w:val="none" w:sz="0" w:space="0" w:color="auto"/>
        <w:left w:val="none" w:sz="0" w:space="0" w:color="auto"/>
        <w:bottom w:val="none" w:sz="0" w:space="0" w:color="auto"/>
        <w:right w:val="none" w:sz="0" w:space="0" w:color="auto"/>
      </w:divBdr>
    </w:div>
    <w:div w:id="709570398">
      <w:bodyDiv w:val="1"/>
      <w:marLeft w:val="0"/>
      <w:marRight w:val="0"/>
      <w:marTop w:val="0"/>
      <w:marBottom w:val="0"/>
      <w:divBdr>
        <w:top w:val="none" w:sz="0" w:space="0" w:color="auto"/>
        <w:left w:val="none" w:sz="0" w:space="0" w:color="auto"/>
        <w:bottom w:val="none" w:sz="0" w:space="0" w:color="auto"/>
        <w:right w:val="none" w:sz="0" w:space="0" w:color="auto"/>
      </w:divBdr>
    </w:div>
    <w:div w:id="726413486">
      <w:bodyDiv w:val="1"/>
      <w:marLeft w:val="0"/>
      <w:marRight w:val="0"/>
      <w:marTop w:val="0"/>
      <w:marBottom w:val="0"/>
      <w:divBdr>
        <w:top w:val="none" w:sz="0" w:space="0" w:color="auto"/>
        <w:left w:val="none" w:sz="0" w:space="0" w:color="auto"/>
        <w:bottom w:val="none" w:sz="0" w:space="0" w:color="auto"/>
        <w:right w:val="none" w:sz="0" w:space="0" w:color="auto"/>
      </w:divBdr>
    </w:div>
    <w:div w:id="735395824">
      <w:bodyDiv w:val="1"/>
      <w:marLeft w:val="0"/>
      <w:marRight w:val="0"/>
      <w:marTop w:val="0"/>
      <w:marBottom w:val="0"/>
      <w:divBdr>
        <w:top w:val="none" w:sz="0" w:space="0" w:color="auto"/>
        <w:left w:val="none" w:sz="0" w:space="0" w:color="auto"/>
        <w:bottom w:val="none" w:sz="0" w:space="0" w:color="auto"/>
        <w:right w:val="none" w:sz="0" w:space="0" w:color="auto"/>
      </w:divBdr>
      <w:divsChild>
        <w:div w:id="815953441">
          <w:marLeft w:val="0"/>
          <w:marRight w:val="0"/>
          <w:marTop w:val="0"/>
          <w:marBottom w:val="0"/>
          <w:divBdr>
            <w:top w:val="none" w:sz="0" w:space="0" w:color="auto"/>
            <w:left w:val="none" w:sz="0" w:space="0" w:color="auto"/>
            <w:bottom w:val="none" w:sz="0" w:space="0" w:color="auto"/>
            <w:right w:val="none" w:sz="0" w:space="0" w:color="auto"/>
          </w:divBdr>
        </w:div>
        <w:div w:id="1991445909">
          <w:marLeft w:val="0"/>
          <w:marRight w:val="0"/>
          <w:marTop w:val="0"/>
          <w:marBottom w:val="0"/>
          <w:divBdr>
            <w:top w:val="none" w:sz="0" w:space="0" w:color="auto"/>
            <w:left w:val="none" w:sz="0" w:space="0" w:color="auto"/>
            <w:bottom w:val="none" w:sz="0" w:space="0" w:color="auto"/>
            <w:right w:val="none" w:sz="0" w:space="0" w:color="auto"/>
          </w:divBdr>
        </w:div>
        <w:div w:id="478039104">
          <w:marLeft w:val="0"/>
          <w:marRight w:val="0"/>
          <w:marTop w:val="0"/>
          <w:marBottom w:val="0"/>
          <w:divBdr>
            <w:top w:val="none" w:sz="0" w:space="0" w:color="auto"/>
            <w:left w:val="none" w:sz="0" w:space="0" w:color="auto"/>
            <w:bottom w:val="none" w:sz="0" w:space="0" w:color="auto"/>
            <w:right w:val="none" w:sz="0" w:space="0" w:color="auto"/>
          </w:divBdr>
        </w:div>
        <w:div w:id="1118646345">
          <w:marLeft w:val="0"/>
          <w:marRight w:val="0"/>
          <w:marTop w:val="0"/>
          <w:marBottom w:val="0"/>
          <w:divBdr>
            <w:top w:val="none" w:sz="0" w:space="0" w:color="auto"/>
            <w:left w:val="none" w:sz="0" w:space="0" w:color="auto"/>
            <w:bottom w:val="none" w:sz="0" w:space="0" w:color="auto"/>
            <w:right w:val="none" w:sz="0" w:space="0" w:color="auto"/>
          </w:divBdr>
        </w:div>
        <w:div w:id="143163316">
          <w:marLeft w:val="0"/>
          <w:marRight w:val="0"/>
          <w:marTop w:val="0"/>
          <w:marBottom w:val="0"/>
          <w:divBdr>
            <w:top w:val="none" w:sz="0" w:space="0" w:color="auto"/>
            <w:left w:val="none" w:sz="0" w:space="0" w:color="auto"/>
            <w:bottom w:val="none" w:sz="0" w:space="0" w:color="auto"/>
            <w:right w:val="none" w:sz="0" w:space="0" w:color="auto"/>
          </w:divBdr>
        </w:div>
        <w:div w:id="1274097938">
          <w:marLeft w:val="0"/>
          <w:marRight w:val="0"/>
          <w:marTop w:val="0"/>
          <w:marBottom w:val="0"/>
          <w:divBdr>
            <w:top w:val="none" w:sz="0" w:space="0" w:color="auto"/>
            <w:left w:val="none" w:sz="0" w:space="0" w:color="auto"/>
            <w:bottom w:val="none" w:sz="0" w:space="0" w:color="auto"/>
            <w:right w:val="none" w:sz="0" w:space="0" w:color="auto"/>
          </w:divBdr>
        </w:div>
        <w:div w:id="287931898">
          <w:marLeft w:val="0"/>
          <w:marRight w:val="0"/>
          <w:marTop w:val="0"/>
          <w:marBottom w:val="0"/>
          <w:divBdr>
            <w:top w:val="none" w:sz="0" w:space="0" w:color="auto"/>
            <w:left w:val="none" w:sz="0" w:space="0" w:color="auto"/>
            <w:bottom w:val="none" w:sz="0" w:space="0" w:color="auto"/>
            <w:right w:val="none" w:sz="0" w:space="0" w:color="auto"/>
          </w:divBdr>
        </w:div>
        <w:div w:id="90441489">
          <w:marLeft w:val="0"/>
          <w:marRight w:val="0"/>
          <w:marTop w:val="0"/>
          <w:marBottom w:val="0"/>
          <w:divBdr>
            <w:top w:val="none" w:sz="0" w:space="0" w:color="auto"/>
            <w:left w:val="none" w:sz="0" w:space="0" w:color="auto"/>
            <w:bottom w:val="none" w:sz="0" w:space="0" w:color="auto"/>
            <w:right w:val="none" w:sz="0" w:space="0" w:color="auto"/>
          </w:divBdr>
        </w:div>
        <w:div w:id="683290016">
          <w:marLeft w:val="0"/>
          <w:marRight w:val="0"/>
          <w:marTop w:val="0"/>
          <w:marBottom w:val="0"/>
          <w:divBdr>
            <w:top w:val="none" w:sz="0" w:space="0" w:color="auto"/>
            <w:left w:val="none" w:sz="0" w:space="0" w:color="auto"/>
            <w:bottom w:val="none" w:sz="0" w:space="0" w:color="auto"/>
            <w:right w:val="none" w:sz="0" w:space="0" w:color="auto"/>
          </w:divBdr>
        </w:div>
        <w:div w:id="1477530617">
          <w:marLeft w:val="0"/>
          <w:marRight w:val="0"/>
          <w:marTop w:val="0"/>
          <w:marBottom w:val="0"/>
          <w:divBdr>
            <w:top w:val="none" w:sz="0" w:space="0" w:color="auto"/>
            <w:left w:val="none" w:sz="0" w:space="0" w:color="auto"/>
            <w:bottom w:val="none" w:sz="0" w:space="0" w:color="auto"/>
            <w:right w:val="none" w:sz="0" w:space="0" w:color="auto"/>
          </w:divBdr>
        </w:div>
        <w:div w:id="470252705">
          <w:marLeft w:val="0"/>
          <w:marRight w:val="0"/>
          <w:marTop w:val="0"/>
          <w:marBottom w:val="0"/>
          <w:divBdr>
            <w:top w:val="none" w:sz="0" w:space="0" w:color="auto"/>
            <w:left w:val="none" w:sz="0" w:space="0" w:color="auto"/>
            <w:bottom w:val="none" w:sz="0" w:space="0" w:color="auto"/>
            <w:right w:val="none" w:sz="0" w:space="0" w:color="auto"/>
          </w:divBdr>
        </w:div>
        <w:div w:id="1290941950">
          <w:marLeft w:val="0"/>
          <w:marRight w:val="0"/>
          <w:marTop w:val="0"/>
          <w:marBottom w:val="0"/>
          <w:divBdr>
            <w:top w:val="none" w:sz="0" w:space="0" w:color="auto"/>
            <w:left w:val="none" w:sz="0" w:space="0" w:color="auto"/>
            <w:bottom w:val="none" w:sz="0" w:space="0" w:color="auto"/>
            <w:right w:val="none" w:sz="0" w:space="0" w:color="auto"/>
          </w:divBdr>
        </w:div>
        <w:div w:id="1530725023">
          <w:marLeft w:val="0"/>
          <w:marRight w:val="0"/>
          <w:marTop w:val="0"/>
          <w:marBottom w:val="0"/>
          <w:divBdr>
            <w:top w:val="none" w:sz="0" w:space="0" w:color="auto"/>
            <w:left w:val="none" w:sz="0" w:space="0" w:color="auto"/>
            <w:bottom w:val="none" w:sz="0" w:space="0" w:color="auto"/>
            <w:right w:val="none" w:sz="0" w:space="0" w:color="auto"/>
          </w:divBdr>
        </w:div>
        <w:div w:id="609699692">
          <w:marLeft w:val="0"/>
          <w:marRight w:val="0"/>
          <w:marTop w:val="0"/>
          <w:marBottom w:val="0"/>
          <w:divBdr>
            <w:top w:val="none" w:sz="0" w:space="0" w:color="auto"/>
            <w:left w:val="none" w:sz="0" w:space="0" w:color="auto"/>
            <w:bottom w:val="none" w:sz="0" w:space="0" w:color="auto"/>
            <w:right w:val="none" w:sz="0" w:space="0" w:color="auto"/>
          </w:divBdr>
        </w:div>
        <w:div w:id="413892154">
          <w:marLeft w:val="0"/>
          <w:marRight w:val="0"/>
          <w:marTop w:val="0"/>
          <w:marBottom w:val="0"/>
          <w:divBdr>
            <w:top w:val="none" w:sz="0" w:space="0" w:color="auto"/>
            <w:left w:val="none" w:sz="0" w:space="0" w:color="auto"/>
            <w:bottom w:val="none" w:sz="0" w:space="0" w:color="auto"/>
            <w:right w:val="none" w:sz="0" w:space="0" w:color="auto"/>
          </w:divBdr>
        </w:div>
        <w:div w:id="724568556">
          <w:marLeft w:val="0"/>
          <w:marRight w:val="0"/>
          <w:marTop w:val="0"/>
          <w:marBottom w:val="0"/>
          <w:divBdr>
            <w:top w:val="none" w:sz="0" w:space="0" w:color="auto"/>
            <w:left w:val="none" w:sz="0" w:space="0" w:color="auto"/>
            <w:bottom w:val="none" w:sz="0" w:space="0" w:color="auto"/>
            <w:right w:val="none" w:sz="0" w:space="0" w:color="auto"/>
          </w:divBdr>
        </w:div>
      </w:divsChild>
    </w:div>
    <w:div w:id="741802361">
      <w:bodyDiv w:val="1"/>
      <w:marLeft w:val="0"/>
      <w:marRight w:val="0"/>
      <w:marTop w:val="0"/>
      <w:marBottom w:val="0"/>
      <w:divBdr>
        <w:top w:val="none" w:sz="0" w:space="0" w:color="auto"/>
        <w:left w:val="none" w:sz="0" w:space="0" w:color="auto"/>
        <w:bottom w:val="none" w:sz="0" w:space="0" w:color="auto"/>
        <w:right w:val="none" w:sz="0" w:space="0" w:color="auto"/>
      </w:divBdr>
    </w:div>
    <w:div w:id="744574985">
      <w:bodyDiv w:val="1"/>
      <w:marLeft w:val="0"/>
      <w:marRight w:val="0"/>
      <w:marTop w:val="0"/>
      <w:marBottom w:val="0"/>
      <w:divBdr>
        <w:top w:val="none" w:sz="0" w:space="0" w:color="auto"/>
        <w:left w:val="none" w:sz="0" w:space="0" w:color="auto"/>
        <w:bottom w:val="none" w:sz="0" w:space="0" w:color="auto"/>
        <w:right w:val="none" w:sz="0" w:space="0" w:color="auto"/>
      </w:divBdr>
    </w:div>
    <w:div w:id="760764056">
      <w:bodyDiv w:val="1"/>
      <w:marLeft w:val="0"/>
      <w:marRight w:val="0"/>
      <w:marTop w:val="0"/>
      <w:marBottom w:val="0"/>
      <w:divBdr>
        <w:top w:val="none" w:sz="0" w:space="0" w:color="auto"/>
        <w:left w:val="none" w:sz="0" w:space="0" w:color="auto"/>
        <w:bottom w:val="none" w:sz="0" w:space="0" w:color="auto"/>
        <w:right w:val="none" w:sz="0" w:space="0" w:color="auto"/>
      </w:divBdr>
    </w:div>
    <w:div w:id="773672338">
      <w:bodyDiv w:val="1"/>
      <w:marLeft w:val="0"/>
      <w:marRight w:val="0"/>
      <w:marTop w:val="0"/>
      <w:marBottom w:val="0"/>
      <w:divBdr>
        <w:top w:val="none" w:sz="0" w:space="0" w:color="auto"/>
        <w:left w:val="none" w:sz="0" w:space="0" w:color="auto"/>
        <w:bottom w:val="none" w:sz="0" w:space="0" w:color="auto"/>
        <w:right w:val="none" w:sz="0" w:space="0" w:color="auto"/>
      </w:divBdr>
    </w:div>
    <w:div w:id="799567328">
      <w:bodyDiv w:val="1"/>
      <w:marLeft w:val="0"/>
      <w:marRight w:val="0"/>
      <w:marTop w:val="0"/>
      <w:marBottom w:val="0"/>
      <w:divBdr>
        <w:top w:val="none" w:sz="0" w:space="0" w:color="auto"/>
        <w:left w:val="none" w:sz="0" w:space="0" w:color="auto"/>
        <w:bottom w:val="none" w:sz="0" w:space="0" w:color="auto"/>
        <w:right w:val="none" w:sz="0" w:space="0" w:color="auto"/>
      </w:divBdr>
    </w:div>
    <w:div w:id="800997594">
      <w:bodyDiv w:val="1"/>
      <w:marLeft w:val="0"/>
      <w:marRight w:val="0"/>
      <w:marTop w:val="0"/>
      <w:marBottom w:val="0"/>
      <w:divBdr>
        <w:top w:val="none" w:sz="0" w:space="0" w:color="auto"/>
        <w:left w:val="none" w:sz="0" w:space="0" w:color="auto"/>
        <w:bottom w:val="none" w:sz="0" w:space="0" w:color="auto"/>
        <w:right w:val="none" w:sz="0" w:space="0" w:color="auto"/>
      </w:divBdr>
    </w:div>
    <w:div w:id="807823096">
      <w:bodyDiv w:val="1"/>
      <w:marLeft w:val="0"/>
      <w:marRight w:val="0"/>
      <w:marTop w:val="0"/>
      <w:marBottom w:val="0"/>
      <w:divBdr>
        <w:top w:val="none" w:sz="0" w:space="0" w:color="auto"/>
        <w:left w:val="none" w:sz="0" w:space="0" w:color="auto"/>
        <w:bottom w:val="none" w:sz="0" w:space="0" w:color="auto"/>
        <w:right w:val="none" w:sz="0" w:space="0" w:color="auto"/>
      </w:divBdr>
    </w:div>
    <w:div w:id="814759630">
      <w:bodyDiv w:val="1"/>
      <w:marLeft w:val="0"/>
      <w:marRight w:val="0"/>
      <w:marTop w:val="0"/>
      <w:marBottom w:val="0"/>
      <w:divBdr>
        <w:top w:val="none" w:sz="0" w:space="0" w:color="auto"/>
        <w:left w:val="none" w:sz="0" w:space="0" w:color="auto"/>
        <w:bottom w:val="none" w:sz="0" w:space="0" w:color="auto"/>
        <w:right w:val="none" w:sz="0" w:space="0" w:color="auto"/>
      </w:divBdr>
    </w:div>
    <w:div w:id="817186860">
      <w:bodyDiv w:val="1"/>
      <w:marLeft w:val="0"/>
      <w:marRight w:val="0"/>
      <w:marTop w:val="0"/>
      <w:marBottom w:val="0"/>
      <w:divBdr>
        <w:top w:val="none" w:sz="0" w:space="0" w:color="auto"/>
        <w:left w:val="none" w:sz="0" w:space="0" w:color="auto"/>
        <w:bottom w:val="none" w:sz="0" w:space="0" w:color="auto"/>
        <w:right w:val="none" w:sz="0" w:space="0" w:color="auto"/>
      </w:divBdr>
      <w:divsChild>
        <w:div w:id="460460772">
          <w:marLeft w:val="0"/>
          <w:marRight w:val="0"/>
          <w:marTop w:val="120"/>
          <w:marBottom w:val="0"/>
          <w:divBdr>
            <w:top w:val="none" w:sz="0" w:space="0" w:color="auto"/>
            <w:left w:val="none" w:sz="0" w:space="0" w:color="auto"/>
            <w:bottom w:val="none" w:sz="0" w:space="0" w:color="auto"/>
            <w:right w:val="none" w:sz="0" w:space="0" w:color="auto"/>
          </w:divBdr>
        </w:div>
      </w:divsChild>
    </w:div>
    <w:div w:id="819225625">
      <w:bodyDiv w:val="1"/>
      <w:marLeft w:val="0"/>
      <w:marRight w:val="0"/>
      <w:marTop w:val="0"/>
      <w:marBottom w:val="0"/>
      <w:divBdr>
        <w:top w:val="none" w:sz="0" w:space="0" w:color="auto"/>
        <w:left w:val="none" w:sz="0" w:space="0" w:color="auto"/>
        <w:bottom w:val="none" w:sz="0" w:space="0" w:color="auto"/>
        <w:right w:val="none" w:sz="0" w:space="0" w:color="auto"/>
      </w:divBdr>
    </w:div>
    <w:div w:id="836651004">
      <w:bodyDiv w:val="1"/>
      <w:marLeft w:val="0"/>
      <w:marRight w:val="0"/>
      <w:marTop w:val="0"/>
      <w:marBottom w:val="0"/>
      <w:divBdr>
        <w:top w:val="none" w:sz="0" w:space="0" w:color="auto"/>
        <w:left w:val="none" w:sz="0" w:space="0" w:color="auto"/>
        <w:bottom w:val="none" w:sz="0" w:space="0" w:color="auto"/>
        <w:right w:val="none" w:sz="0" w:space="0" w:color="auto"/>
      </w:divBdr>
    </w:div>
    <w:div w:id="864905432">
      <w:bodyDiv w:val="1"/>
      <w:marLeft w:val="0"/>
      <w:marRight w:val="0"/>
      <w:marTop w:val="0"/>
      <w:marBottom w:val="0"/>
      <w:divBdr>
        <w:top w:val="none" w:sz="0" w:space="0" w:color="auto"/>
        <w:left w:val="none" w:sz="0" w:space="0" w:color="auto"/>
        <w:bottom w:val="none" w:sz="0" w:space="0" w:color="auto"/>
        <w:right w:val="none" w:sz="0" w:space="0" w:color="auto"/>
      </w:divBdr>
    </w:div>
    <w:div w:id="885919308">
      <w:bodyDiv w:val="1"/>
      <w:marLeft w:val="0"/>
      <w:marRight w:val="0"/>
      <w:marTop w:val="0"/>
      <w:marBottom w:val="0"/>
      <w:divBdr>
        <w:top w:val="none" w:sz="0" w:space="0" w:color="auto"/>
        <w:left w:val="none" w:sz="0" w:space="0" w:color="auto"/>
        <w:bottom w:val="none" w:sz="0" w:space="0" w:color="auto"/>
        <w:right w:val="none" w:sz="0" w:space="0" w:color="auto"/>
      </w:divBdr>
    </w:div>
    <w:div w:id="897473164">
      <w:bodyDiv w:val="1"/>
      <w:marLeft w:val="0"/>
      <w:marRight w:val="0"/>
      <w:marTop w:val="0"/>
      <w:marBottom w:val="0"/>
      <w:divBdr>
        <w:top w:val="none" w:sz="0" w:space="0" w:color="auto"/>
        <w:left w:val="none" w:sz="0" w:space="0" w:color="auto"/>
        <w:bottom w:val="none" w:sz="0" w:space="0" w:color="auto"/>
        <w:right w:val="none" w:sz="0" w:space="0" w:color="auto"/>
      </w:divBdr>
    </w:div>
    <w:div w:id="897933283">
      <w:bodyDiv w:val="1"/>
      <w:marLeft w:val="0"/>
      <w:marRight w:val="0"/>
      <w:marTop w:val="0"/>
      <w:marBottom w:val="0"/>
      <w:divBdr>
        <w:top w:val="none" w:sz="0" w:space="0" w:color="auto"/>
        <w:left w:val="none" w:sz="0" w:space="0" w:color="auto"/>
        <w:bottom w:val="none" w:sz="0" w:space="0" w:color="auto"/>
        <w:right w:val="none" w:sz="0" w:space="0" w:color="auto"/>
      </w:divBdr>
    </w:div>
    <w:div w:id="952249381">
      <w:bodyDiv w:val="1"/>
      <w:marLeft w:val="0"/>
      <w:marRight w:val="0"/>
      <w:marTop w:val="0"/>
      <w:marBottom w:val="0"/>
      <w:divBdr>
        <w:top w:val="none" w:sz="0" w:space="0" w:color="auto"/>
        <w:left w:val="none" w:sz="0" w:space="0" w:color="auto"/>
        <w:bottom w:val="none" w:sz="0" w:space="0" w:color="auto"/>
        <w:right w:val="none" w:sz="0" w:space="0" w:color="auto"/>
      </w:divBdr>
    </w:div>
    <w:div w:id="1040015792">
      <w:bodyDiv w:val="1"/>
      <w:marLeft w:val="0"/>
      <w:marRight w:val="0"/>
      <w:marTop w:val="0"/>
      <w:marBottom w:val="0"/>
      <w:divBdr>
        <w:top w:val="none" w:sz="0" w:space="0" w:color="auto"/>
        <w:left w:val="none" w:sz="0" w:space="0" w:color="auto"/>
        <w:bottom w:val="none" w:sz="0" w:space="0" w:color="auto"/>
        <w:right w:val="none" w:sz="0" w:space="0" w:color="auto"/>
      </w:divBdr>
      <w:divsChild>
        <w:div w:id="152255897">
          <w:marLeft w:val="150"/>
          <w:marRight w:val="150"/>
          <w:marTop w:val="150"/>
          <w:marBottom w:val="150"/>
          <w:divBdr>
            <w:top w:val="none" w:sz="0" w:space="0" w:color="auto"/>
            <w:left w:val="none" w:sz="0" w:space="0" w:color="auto"/>
            <w:bottom w:val="none" w:sz="0" w:space="0" w:color="auto"/>
            <w:right w:val="none" w:sz="0" w:space="0" w:color="auto"/>
          </w:divBdr>
        </w:div>
      </w:divsChild>
    </w:div>
    <w:div w:id="1050959673">
      <w:bodyDiv w:val="1"/>
      <w:marLeft w:val="0"/>
      <w:marRight w:val="0"/>
      <w:marTop w:val="0"/>
      <w:marBottom w:val="0"/>
      <w:divBdr>
        <w:top w:val="none" w:sz="0" w:space="0" w:color="auto"/>
        <w:left w:val="none" w:sz="0" w:space="0" w:color="auto"/>
        <w:bottom w:val="none" w:sz="0" w:space="0" w:color="auto"/>
        <w:right w:val="none" w:sz="0" w:space="0" w:color="auto"/>
      </w:divBdr>
    </w:div>
    <w:div w:id="1055810689">
      <w:bodyDiv w:val="1"/>
      <w:marLeft w:val="0"/>
      <w:marRight w:val="0"/>
      <w:marTop w:val="0"/>
      <w:marBottom w:val="0"/>
      <w:divBdr>
        <w:top w:val="none" w:sz="0" w:space="0" w:color="auto"/>
        <w:left w:val="none" w:sz="0" w:space="0" w:color="auto"/>
        <w:bottom w:val="none" w:sz="0" w:space="0" w:color="auto"/>
        <w:right w:val="none" w:sz="0" w:space="0" w:color="auto"/>
      </w:divBdr>
    </w:div>
    <w:div w:id="1063719067">
      <w:bodyDiv w:val="1"/>
      <w:marLeft w:val="0"/>
      <w:marRight w:val="0"/>
      <w:marTop w:val="0"/>
      <w:marBottom w:val="0"/>
      <w:divBdr>
        <w:top w:val="none" w:sz="0" w:space="0" w:color="auto"/>
        <w:left w:val="none" w:sz="0" w:space="0" w:color="auto"/>
        <w:bottom w:val="none" w:sz="0" w:space="0" w:color="auto"/>
        <w:right w:val="none" w:sz="0" w:space="0" w:color="auto"/>
      </w:divBdr>
    </w:div>
    <w:div w:id="1079867935">
      <w:bodyDiv w:val="1"/>
      <w:marLeft w:val="0"/>
      <w:marRight w:val="0"/>
      <w:marTop w:val="0"/>
      <w:marBottom w:val="0"/>
      <w:divBdr>
        <w:top w:val="none" w:sz="0" w:space="0" w:color="auto"/>
        <w:left w:val="none" w:sz="0" w:space="0" w:color="auto"/>
        <w:bottom w:val="none" w:sz="0" w:space="0" w:color="auto"/>
        <w:right w:val="none" w:sz="0" w:space="0" w:color="auto"/>
      </w:divBdr>
      <w:divsChild>
        <w:div w:id="1991011182">
          <w:marLeft w:val="0"/>
          <w:marRight w:val="0"/>
          <w:marTop w:val="0"/>
          <w:marBottom w:val="0"/>
          <w:divBdr>
            <w:top w:val="none" w:sz="0" w:space="0" w:color="auto"/>
            <w:left w:val="none" w:sz="0" w:space="0" w:color="auto"/>
            <w:bottom w:val="none" w:sz="0" w:space="0" w:color="auto"/>
            <w:right w:val="none" w:sz="0" w:space="0" w:color="auto"/>
          </w:divBdr>
        </w:div>
        <w:div w:id="2135362193">
          <w:marLeft w:val="0"/>
          <w:marRight w:val="0"/>
          <w:marTop w:val="0"/>
          <w:marBottom w:val="0"/>
          <w:divBdr>
            <w:top w:val="none" w:sz="0" w:space="0" w:color="auto"/>
            <w:left w:val="none" w:sz="0" w:space="0" w:color="auto"/>
            <w:bottom w:val="none" w:sz="0" w:space="0" w:color="auto"/>
            <w:right w:val="none" w:sz="0" w:space="0" w:color="auto"/>
          </w:divBdr>
        </w:div>
        <w:div w:id="1828547319">
          <w:marLeft w:val="0"/>
          <w:marRight w:val="0"/>
          <w:marTop w:val="0"/>
          <w:marBottom w:val="0"/>
          <w:divBdr>
            <w:top w:val="none" w:sz="0" w:space="0" w:color="auto"/>
            <w:left w:val="none" w:sz="0" w:space="0" w:color="auto"/>
            <w:bottom w:val="none" w:sz="0" w:space="0" w:color="auto"/>
            <w:right w:val="none" w:sz="0" w:space="0" w:color="auto"/>
          </w:divBdr>
        </w:div>
        <w:div w:id="861551740">
          <w:marLeft w:val="0"/>
          <w:marRight w:val="0"/>
          <w:marTop w:val="0"/>
          <w:marBottom w:val="0"/>
          <w:divBdr>
            <w:top w:val="none" w:sz="0" w:space="0" w:color="auto"/>
            <w:left w:val="none" w:sz="0" w:space="0" w:color="auto"/>
            <w:bottom w:val="none" w:sz="0" w:space="0" w:color="auto"/>
            <w:right w:val="none" w:sz="0" w:space="0" w:color="auto"/>
          </w:divBdr>
        </w:div>
        <w:div w:id="187723577">
          <w:marLeft w:val="0"/>
          <w:marRight w:val="0"/>
          <w:marTop w:val="0"/>
          <w:marBottom w:val="0"/>
          <w:divBdr>
            <w:top w:val="none" w:sz="0" w:space="0" w:color="auto"/>
            <w:left w:val="none" w:sz="0" w:space="0" w:color="auto"/>
            <w:bottom w:val="none" w:sz="0" w:space="0" w:color="auto"/>
            <w:right w:val="none" w:sz="0" w:space="0" w:color="auto"/>
          </w:divBdr>
        </w:div>
        <w:div w:id="2096826379">
          <w:marLeft w:val="0"/>
          <w:marRight w:val="0"/>
          <w:marTop w:val="0"/>
          <w:marBottom w:val="0"/>
          <w:divBdr>
            <w:top w:val="none" w:sz="0" w:space="0" w:color="auto"/>
            <w:left w:val="none" w:sz="0" w:space="0" w:color="auto"/>
            <w:bottom w:val="none" w:sz="0" w:space="0" w:color="auto"/>
            <w:right w:val="none" w:sz="0" w:space="0" w:color="auto"/>
          </w:divBdr>
        </w:div>
        <w:div w:id="132724997">
          <w:marLeft w:val="0"/>
          <w:marRight w:val="0"/>
          <w:marTop w:val="0"/>
          <w:marBottom w:val="0"/>
          <w:divBdr>
            <w:top w:val="none" w:sz="0" w:space="0" w:color="auto"/>
            <w:left w:val="none" w:sz="0" w:space="0" w:color="auto"/>
            <w:bottom w:val="none" w:sz="0" w:space="0" w:color="auto"/>
            <w:right w:val="none" w:sz="0" w:space="0" w:color="auto"/>
          </w:divBdr>
        </w:div>
        <w:div w:id="534468764">
          <w:marLeft w:val="0"/>
          <w:marRight w:val="0"/>
          <w:marTop w:val="0"/>
          <w:marBottom w:val="0"/>
          <w:divBdr>
            <w:top w:val="none" w:sz="0" w:space="0" w:color="auto"/>
            <w:left w:val="none" w:sz="0" w:space="0" w:color="auto"/>
            <w:bottom w:val="none" w:sz="0" w:space="0" w:color="auto"/>
            <w:right w:val="none" w:sz="0" w:space="0" w:color="auto"/>
          </w:divBdr>
        </w:div>
        <w:div w:id="1953904409">
          <w:marLeft w:val="0"/>
          <w:marRight w:val="0"/>
          <w:marTop w:val="0"/>
          <w:marBottom w:val="0"/>
          <w:divBdr>
            <w:top w:val="none" w:sz="0" w:space="0" w:color="auto"/>
            <w:left w:val="none" w:sz="0" w:space="0" w:color="auto"/>
            <w:bottom w:val="none" w:sz="0" w:space="0" w:color="auto"/>
            <w:right w:val="none" w:sz="0" w:space="0" w:color="auto"/>
          </w:divBdr>
        </w:div>
        <w:div w:id="1175606110">
          <w:marLeft w:val="0"/>
          <w:marRight w:val="0"/>
          <w:marTop w:val="0"/>
          <w:marBottom w:val="0"/>
          <w:divBdr>
            <w:top w:val="none" w:sz="0" w:space="0" w:color="auto"/>
            <w:left w:val="none" w:sz="0" w:space="0" w:color="auto"/>
            <w:bottom w:val="none" w:sz="0" w:space="0" w:color="auto"/>
            <w:right w:val="none" w:sz="0" w:space="0" w:color="auto"/>
          </w:divBdr>
        </w:div>
        <w:div w:id="1467505988">
          <w:marLeft w:val="0"/>
          <w:marRight w:val="0"/>
          <w:marTop w:val="0"/>
          <w:marBottom w:val="0"/>
          <w:divBdr>
            <w:top w:val="none" w:sz="0" w:space="0" w:color="auto"/>
            <w:left w:val="none" w:sz="0" w:space="0" w:color="auto"/>
            <w:bottom w:val="none" w:sz="0" w:space="0" w:color="auto"/>
            <w:right w:val="none" w:sz="0" w:space="0" w:color="auto"/>
          </w:divBdr>
        </w:div>
        <w:div w:id="452093157">
          <w:marLeft w:val="0"/>
          <w:marRight w:val="0"/>
          <w:marTop w:val="0"/>
          <w:marBottom w:val="0"/>
          <w:divBdr>
            <w:top w:val="none" w:sz="0" w:space="0" w:color="auto"/>
            <w:left w:val="none" w:sz="0" w:space="0" w:color="auto"/>
            <w:bottom w:val="none" w:sz="0" w:space="0" w:color="auto"/>
            <w:right w:val="none" w:sz="0" w:space="0" w:color="auto"/>
          </w:divBdr>
        </w:div>
        <w:div w:id="1408335664">
          <w:marLeft w:val="0"/>
          <w:marRight w:val="0"/>
          <w:marTop w:val="0"/>
          <w:marBottom w:val="0"/>
          <w:divBdr>
            <w:top w:val="none" w:sz="0" w:space="0" w:color="auto"/>
            <w:left w:val="none" w:sz="0" w:space="0" w:color="auto"/>
            <w:bottom w:val="none" w:sz="0" w:space="0" w:color="auto"/>
            <w:right w:val="none" w:sz="0" w:space="0" w:color="auto"/>
          </w:divBdr>
        </w:div>
        <w:div w:id="2029601612">
          <w:marLeft w:val="0"/>
          <w:marRight w:val="0"/>
          <w:marTop w:val="0"/>
          <w:marBottom w:val="0"/>
          <w:divBdr>
            <w:top w:val="none" w:sz="0" w:space="0" w:color="auto"/>
            <w:left w:val="none" w:sz="0" w:space="0" w:color="auto"/>
            <w:bottom w:val="none" w:sz="0" w:space="0" w:color="auto"/>
            <w:right w:val="none" w:sz="0" w:space="0" w:color="auto"/>
          </w:divBdr>
        </w:div>
        <w:div w:id="1454178788">
          <w:marLeft w:val="0"/>
          <w:marRight w:val="0"/>
          <w:marTop w:val="0"/>
          <w:marBottom w:val="0"/>
          <w:divBdr>
            <w:top w:val="none" w:sz="0" w:space="0" w:color="auto"/>
            <w:left w:val="none" w:sz="0" w:space="0" w:color="auto"/>
            <w:bottom w:val="none" w:sz="0" w:space="0" w:color="auto"/>
            <w:right w:val="none" w:sz="0" w:space="0" w:color="auto"/>
          </w:divBdr>
        </w:div>
        <w:div w:id="41372486">
          <w:marLeft w:val="0"/>
          <w:marRight w:val="0"/>
          <w:marTop w:val="0"/>
          <w:marBottom w:val="0"/>
          <w:divBdr>
            <w:top w:val="none" w:sz="0" w:space="0" w:color="auto"/>
            <w:left w:val="none" w:sz="0" w:space="0" w:color="auto"/>
            <w:bottom w:val="none" w:sz="0" w:space="0" w:color="auto"/>
            <w:right w:val="none" w:sz="0" w:space="0" w:color="auto"/>
          </w:divBdr>
        </w:div>
        <w:div w:id="1588417577">
          <w:marLeft w:val="0"/>
          <w:marRight w:val="0"/>
          <w:marTop w:val="0"/>
          <w:marBottom w:val="0"/>
          <w:divBdr>
            <w:top w:val="none" w:sz="0" w:space="0" w:color="auto"/>
            <w:left w:val="none" w:sz="0" w:space="0" w:color="auto"/>
            <w:bottom w:val="none" w:sz="0" w:space="0" w:color="auto"/>
            <w:right w:val="none" w:sz="0" w:space="0" w:color="auto"/>
          </w:divBdr>
        </w:div>
        <w:div w:id="1495954983">
          <w:marLeft w:val="0"/>
          <w:marRight w:val="0"/>
          <w:marTop w:val="0"/>
          <w:marBottom w:val="0"/>
          <w:divBdr>
            <w:top w:val="none" w:sz="0" w:space="0" w:color="auto"/>
            <w:left w:val="none" w:sz="0" w:space="0" w:color="auto"/>
            <w:bottom w:val="none" w:sz="0" w:space="0" w:color="auto"/>
            <w:right w:val="none" w:sz="0" w:space="0" w:color="auto"/>
          </w:divBdr>
        </w:div>
        <w:div w:id="1352220388">
          <w:marLeft w:val="0"/>
          <w:marRight w:val="0"/>
          <w:marTop w:val="0"/>
          <w:marBottom w:val="0"/>
          <w:divBdr>
            <w:top w:val="none" w:sz="0" w:space="0" w:color="auto"/>
            <w:left w:val="none" w:sz="0" w:space="0" w:color="auto"/>
            <w:bottom w:val="none" w:sz="0" w:space="0" w:color="auto"/>
            <w:right w:val="none" w:sz="0" w:space="0" w:color="auto"/>
          </w:divBdr>
        </w:div>
      </w:divsChild>
    </w:div>
    <w:div w:id="1084759989">
      <w:bodyDiv w:val="1"/>
      <w:marLeft w:val="0"/>
      <w:marRight w:val="0"/>
      <w:marTop w:val="0"/>
      <w:marBottom w:val="0"/>
      <w:divBdr>
        <w:top w:val="none" w:sz="0" w:space="0" w:color="auto"/>
        <w:left w:val="none" w:sz="0" w:space="0" w:color="auto"/>
        <w:bottom w:val="none" w:sz="0" w:space="0" w:color="auto"/>
        <w:right w:val="none" w:sz="0" w:space="0" w:color="auto"/>
      </w:divBdr>
    </w:div>
    <w:div w:id="1107507131">
      <w:bodyDiv w:val="1"/>
      <w:marLeft w:val="0"/>
      <w:marRight w:val="0"/>
      <w:marTop w:val="0"/>
      <w:marBottom w:val="0"/>
      <w:divBdr>
        <w:top w:val="none" w:sz="0" w:space="0" w:color="auto"/>
        <w:left w:val="none" w:sz="0" w:space="0" w:color="auto"/>
        <w:bottom w:val="none" w:sz="0" w:space="0" w:color="auto"/>
        <w:right w:val="none" w:sz="0" w:space="0" w:color="auto"/>
      </w:divBdr>
    </w:div>
    <w:div w:id="1122192050">
      <w:bodyDiv w:val="1"/>
      <w:marLeft w:val="0"/>
      <w:marRight w:val="0"/>
      <w:marTop w:val="0"/>
      <w:marBottom w:val="0"/>
      <w:divBdr>
        <w:top w:val="none" w:sz="0" w:space="0" w:color="auto"/>
        <w:left w:val="none" w:sz="0" w:space="0" w:color="auto"/>
        <w:bottom w:val="none" w:sz="0" w:space="0" w:color="auto"/>
        <w:right w:val="none" w:sz="0" w:space="0" w:color="auto"/>
      </w:divBdr>
    </w:div>
    <w:div w:id="1129975704">
      <w:bodyDiv w:val="1"/>
      <w:marLeft w:val="0"/>
      <w:marRight w:val="0"/>
      <w:marTop w:val="0"/>
      <w:marBottom w:val="0"/>
      <w:divBdr>
        <w:top w:val="none" w:sz="0" w:space="0" w:color="auto"/>
        <w:left w:val="none" w:sz="0" w:space="0" w:color="auto"/>
        <w:bottom w:val="none" w:sz="0" w:space="0" w:color="auto"/>
        <w:right w:val="none" w:sz="0" w:space="0" w:color="auto"/>
      </w:divBdr>
    </w:div>
    <w:div w:id="1130321432">
      <w:bodyDiv w:val="1"/>
      <w:marLeft w:val="0"/>
      <w:marRight w:val="0"/>
      <w:marTop w:val="0"/>
      <w:marBottom w:val="0"/>
      <w:divBdr>
        <w:top w:val="none" w:sz="0" w:space="0" w:color="auto"/>
        <w:left w:val="none" w:sz="0" w:space="0" w:color="auto"/>
        <w:bottom w:val="none" w:sz="0" w:space="0" w:color="auto"/>
        <w:right w:val="none" w:sz="0" w:space="0" w:color="auto"/>
      </w:divBdr>
    </w:div>
    <w:div w:id="1142622120">
      <w:bodyDiv w:val="1"/>
      <w:marLeft w:val="0"/>
      <w:marRight w:val="0"/>
      <w:marTop w:val="0"/>
      <w:marBottom w:val="0"/>
      <w:divBdr>
        <w:top w:val="none" w:sz="0" w:space="0" w:color="auto"/>
        <w:left w:val="none" w:sz="0" w:space="0" w:color="auto"/>
        <w:bottom w:val="none" w:sz="0" w:space="0" w:color="auto"/>
        <w:right w:val="none" w:sz="0" w:space="0" w:color="auto"/>
      </w:divBdr>
    </w:div>
    <w:div w:id="1159492660">
      <w:bodyDiv w:val="1"/>
      <w:marLeft w:val="0"/>
      <w:marRight w:val="0"/>
      <w:marTop w:val="0"/>
      <w:marBottom w:val="0"/>
      <w:divBdr>
        <w:top w:val="none" w:sz="0" w:space="0" w:color="auto"/>
        <w:left w:val="none" w:sz="0" w:space="0" w:color="auto"/>
        <w:bottom w:val="none" w:sz="0" w:space="0" w:color="auto"/>
        <w:right w:val="none" w:sz="0" w:space="0" w:color="auto"/>
      </w:divBdr>
    </w:div>
    <w:div w:id="1170871864">
      <w:bodyDiv w:val="1"/>
      <w:marLeft w:val="0"/>
      <w:marRight w:val="0"/>
      <w:marTop w:val="0"/>
      <w:marBottom w:val="0"/>
      <w:divBdr>
        <w:top w:val="none" w:sz="0" w:space="0" w:color="auto"/>
        <w:left w:val="none" w:sz="0" w:space="0" w:color="auto"/>
        <w:bottom w:val="none" w:sz="0" w:space="0" w:color="auto"/>
        <w:right w:val="none" w:sz="0" w:space="0" w:color="auto"/>
      </w:divBdr>
    </w:div>
    <w:div w:id="1180047278">
      <w:bodyDiv w:val="1"/>
      <w:marLeft w:val="0"/>
      <w:marRight w:val="0"/>
      <w:marTop w:val="0"/>
      <w:marBottom w:val="0"/>
      <w:divBdr>
        <w:top w:val="none" w:sz="0" w:space="0" w:color="auto"/>
        <w:left w:val="none" w:sz="0" w:space="0" w:color="auto"/>
        <w:bottom w:val="none" w:sz="0" w:space="0" w:color="auto"/>
        <w:right w:val="none" w:sz="0" w:space="0" w:color="auto"/>
      </w:divBdr>
    </w:div>
    <w:div w:id="1198545861">
      <w:bodyDiv w:val="1"/>
      <w:marLeft w:val="0"/>
      <w:marRight w:val="0"/>
      <w:marTop w:val="0"/>
      <w:marBottom w:val="0"/>
      <w:divBdr>
        <w:top w:val="none" w:sz="0" w:space="0" w:color="auto"/>
        <w:left w:val="none" w:sz="0" w:space="0" w:color="auto"/>
        <w:bottom w:val="none" w:sz="0" w:space="0" w:color="auto"/>
        <w:right w:val="none" w:sz="0" w:space="0" w:color="auto"/>
      </w:divBdr>
    </w:div>
    <w:div w:id="1210918841">
      <w:bodyDiv w:val="1"/>
      <w:marLeft w:val="0"/>
      <w:marRight w:val="0"/>
      <w:marTop w:val="0"/>
      <w:marBottom w:val="0"/>
      <w:divBdr>
        <w:top w:val="none" w:sz="0" w:space="0" w:color="auto"/>
        <w:left w:val="none" w:sz="0" w:space="0" w:color="auto"/>
        <w:bottom w:val="none" w:sz="0" w:space="0" w:color="auto"/>
        <w:right w:val="none" w:sz="0" w:space="0" w:color="auto"/>
      </w:divBdr>
    </w:div>
    <w:div w:id="1275287290">
      <w:bodyDiv w:val="1"/>
      <w:marLeft w:val="0"/>
      <w:marRight w:val="0"/>
      <w:marTop w:val="0"/>
      <w:marBottom w:val="0"/>
      <w:divBdr>
        <w:top w:val="none" w:sz="0" w:space="0" w:color="auto"/>
        <w:left w:val="none" w:sz="0" w:space="0" w:color="auto"/>
        <w:bottom w:val="none" w:sz="0" w:space="0" w:color="auto"/>
        <w:right w:val="none" w:sz="0" w:space="0" w:color="auto"/>
      </w:divBdr>
    </w:div>
    <w:div w:id="1320039639">
      <w:bodyDiv w:val="1"/>
      <w:marLeft w:val="0"/>
      <w:marRight w:val="0"/>
      <w:marTop w:val="0"/>
      <w:marBottom w:val="0"/>
      <w:divBdr>
        <w:top w:val="none" w:sz="0" w:space="0" w:color="auto"/>
        <w:left w:val="none" w:sz="0" w:space="0" w:color="auto"/>
        <w:bottom w:val="none" w:sz="0" w:space="0" w:color="auto"/>
        <w:right w:val="none" w:sz="0" w:space="0" w:color="auto"/>
      </w:divBdr>
    </w:div>
    <w:div w:id="1341810191">
      <w:bodyDiv w:val="1"/>
      <w:marLeft w:val="0"/>
      <w:marRight w:val="0"/>
      <w:marTop w:val="0"/>
      <w:marBottom w:val="0"/>
      <w:divBdr>
        <w:top w:val="none" w:sz="0" w:space="0" w:color="auto"/>
        <w:left w:val="none" w:sz="0" w:space="0" w:color="auto"/>
        <w:bottom w:val="none" w:sz="0" w:space="0" w:color="auto"/>
        <w:right w:val="none" w:sz="0" w:space="0" w:color="auto"/>
      </w:divBdr>
    </w:div>
    <w:div w:id="1349479661">
      <w:bodyDiv w:val="1"/>
      <w:marLeft w:val="0"/>
      <w:marRight w:val="0"/>
      <w:marTop w:val="0"/>
      <w:marBottom w:val="0"/>
      <w:divBdr>
        <w:top w:val="none" w:sz="0" w:space="0" w:color="auto"/>
        <w:left w:val="none" w:sz="0" w:space="0" w:color="auto"/>
        <w:bottom w:val="none" w:sz="0" w:space="0" w:color="auto"/>
        <w:right w:val="none" w:sz="0" w:space="0" w:color="auto"/>
      </w:divBdr>
      <w:divsChild>
        <w:div w:id="393937348">
          <w:marLeft w:val="45"/>
          <w:marRight w:val="45"/>
          <w:marTop w:val="0"/>
          <w:marBottom w:val="0"/>
          <w:divBdr>
            <w:top w:val="none" w:sz="0" w:space="0" w:color="auto"/>
            <w:left w:val="none" w:sz="0" w:space="0" w:color="auto"/>
            <w:bottom w:val="none" w:sz="0" w:space="0" w:color="auto"/>
            <w:right w:val="none" w:sz="0" w:space="0" w:color="auto"/>
          </w:divBdr>
          <w:divsChild>
            <w:div w:id="948858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2536683">
      <w:bodyDiv w:val="1"/>
      <w:marLeft w:val="0"/>
      <w:marRight w:val="0"/>
      <w:marTop w:val="0"/>
      <w:marBottom w:val="0"/>
      <w:divBdr>
        <w:top w:val="none" w:sz="0" w:space="0" w:color="auto"/>
        <w:left w:val="none" w:sz="0" w:space="0" w:color="auto"/>
        <w:bottom w:val="none" w:sz="0" w:space="0" w:color="auto"/>
        <w:right w:val="none" w:sz="0" w:space="0" w:color="auto"/>
      </w:divBdr>
    </w:div>
    <w:div w:id="1354189415">
      <w:bodyDiv w:val="1"/>
      <w:marLeft w:val="0"/>
      <w:marRight w:val="0"/>
      <w:marTop w:val="0"/>
      <w:marBottom w:val="0"/>
      <w:divBdr>
        <w:top w:val="none" w:sz="0" w:space="0" w:color="auto"/>
        <w:left w:val="none" w:sz="0" w:space="0" w:color="auto"/>
        <w:bottom w:val="none" w:sz="0" w:space="0" w:color="auto"/>
        <w:right w:val="none" w:sz="0" w:space="0" w:color="auto"/>
      </w:divBdr>
    </w:div>
    <w:div w:id="1354694982">
      <w:bodyDiv w:val="1"/>
      <w:marLeft w:val="0"/>
      <w:marRight w:val="0"/>
      <w:marTop w:val="0"/>
      <w:marBottom w:val="0"/>
      <w:divBdr>
        <w:top w:val="none" w:sz="0" w:space="0" w:color="auto"/>
        <w:left w:val="none" w:sz="0" w:space="0" w:color="auto"/>
        <w:bottom w:val="none" w:sz="0" w:space="0" w:color="auto"/>
        <w:right w:val="none" w:sz="0" w:space="0" w:color="auto"/>
      </w:divBdr>
    </w:div>
    <w:div w:id="1356928201">
      <w:bodyDiv w:val="1"/>
      <w:marLeft w:val="0"/>
      <w:marRight w:val="0"/>
      <w:marTop w:val="0"/>
      <w:marBottom w:val="0"/>
      <w:divBdr>
        <w:top w:val="none" w:sz="0" w:space="0" w:color="auto"/>
        <w:left w:val="none" w:sz="0" w:space="0" w:color="auto"/>
        <w:bottom w:val="none" w:sz="0" w:space="0" w:color="auto"/>
        <w:right w:val="none" w:sz="0" w:space="0" w:color="auto"/>
      </w:divBdr>
    </w:div>
    <w:div w:id="1389110350">
      <w:bodyDiv w:val="1"/>
      <w:marLeft w:val="0"/>
      <w:marRight w:val="0"/>
      <w:marTop w:val="0"/>
      <w:marBottom w:val="0"/>
      <w:divBdr>
        <w:top w:val="none" w:sz="0" w:space="0" w:color="auto"/>
        <w:left w:val="none" w:sz="0" w:space="0" w:color="auto"/>
        <w:bottom w:val="none" w:sz="0" w:space="0" w:color="auto"/>
        <w:right w:val="none" w:sz="0" w:space="0" w:color="auto"/>
      </w:divBdr>
    </w:div>
    <w:div w:id="1423256137">
      <w:bodyDiv w:val="1"/>
      <w:marLeft w:val="0"/>
      <w:marRight w:val="0"/>
      <w:marTop w:val="0"/>
      <w:marBottom w:val="0"/>
      <w:divBdr>
        <w:top w:val="none" w:sz="0" w:space="0" w:color="auto"/>
        <w:left w:val="none" w:sz="0" w:space="0" w:color="auto"/>
        <w:bottom w:val="none" w:sz="0" w:space="0" w:color="auto"/>
        <w:right w:val="none" w:sz="0" w:space="0" w:color="auto"/>
      </w:divBdr>
    </w:div>
    <w:div w:id="1437556152">
      <w:bodyDiv w:val="1"/>
      <w:marLeft w:val="0"/>
      <w:marRight w:val="0"/>
      <w:marTop w:val="0"/>
      <w:marBottom w:val="0"/>
      <w:divBdr>
        <w:top w:val="none" w:sz="0" w:space="0" w:color="auto"/>
        <w:left w:val="none" w:sz="0" w:space="0" w:color="auto"/>
        <w:bottom w:val="none" w:sz="0" w:space="0" w:color="auto"/>
        <w:right w:val="none" w:sz="0" w:space="0" w:color="auto"/>
      </w:divBdr>
    </w:div>
    <w:div w:id="1445156595">
      <w:bodyDiv w:val="1"/>
      <w:marLeft w:val="0"/>
      <w:marRight w:val="0"/>
      <w:marTop w:val="0"/>
      <w:marBottom w:val="0"/>
      <w:divBdr>
        <w:top w:val="none" w:sz="0" w:space="0" w:color="auto"/>
        <w:left w:val="none" w:sz="0" w:space="0" w:color="auto"/>
        <w:bottom w:val="none" w:sz="0" w:space="0" w:color="auto"/>
        <w:right w:val="none" w:sz="0" w:space="0" w:color="auto"/>
      </w:divBdr>
    </w:div>
    <w:div w:id="1461610289">
      <w:bodyDiv w:val="1"/>
      <w:marLeft w:val="0"/>
      <w:marRight w:val="0"/>
      <w:marTop w:val="0"/>
      <w:marBottom w:val="0"/>
      <w:divBdr>
        <w:top w:val="none" w:sz="0" w:space="0" w:color="auto"/>
        <w:left w:val="none" w:sz="0" w:space="0" w:color="auto"/>
        <w:bottom w:val="none" w:sz="0" w:space="0" w:color="auto"/>
        <w:right w:val="none" w:sz="0" w:space="0" w:color="auto"/>
      </w:divBdr>
      <w:divsChild>
        <w:div w:id="33383834">
          <w:marLeft w:val="0"/>
          <w:marRight w:val="0"/>
          <w:marTop w:val="0"/>
          <w:marBottom w:val="0"/>
          <w:divBdr>
            <w:top w:val="none" w:sz="0" w:space="0" w:color="auto"/>
            <w:left w:val="none" w:sz="0" w:space="0" w:color="auto"/>
            <w:bottom w:val="none" w:sz="0" w:space="0" w:color="auto"/>
            <w:right w:val="none" w:sz="0" w:space="0" w:color="auto"/>
          </w:divBdr>
        </w:div>
        <w:div w:id="92946424">
          <w:marLeft w:val="0"/>
          <w:marRight w:val="0"/>
          <w:marTop w:val="0"/>
          <w:marBottom w:val="0"/>
          <w:divBdr>
            <w:top w:val="none" w:sz="0" w:space="0" w:color="auto"/>
            <w:left w:val="none" w:sz="0" w:space="0" w:color="auto"/>
            <w:bottom w:val="none" w:sz="0" w:space="0" w:color="auto"/>
            <w:right w:val="none" w:sz="0" w:space="0" w:color="auto"/>
          </w:divBdr>
        </w:div>
        <w:div w:id="97337048">
          <w:marLeft w:val="0"/>
          <w:marRight w:val="0"/>
          <w:marTop w:val="0"/>
          <w:marBottom w:val="0"/>
          <w:divBdr>
            <w:top w:val="none" w:sz="0" w:space="0" w:color="auto"/>
            <w:left w:val="none" w:sz="0" w:space="0" w:color="auto"/>
            <w:bottom w:val="none" w:sz="0" w:space="0" w:color="auto"/>
            <w:right w:val="none" w:sz="0" w:space="0" w:color="auto"/>
          </w:divBdr>
        </w:div>
        <w:div w:id="144049449">
          <w:marLeft w:val="0"/>
          <w:marRight w:val="0"/>
          <w:marTop w:val="0"/>
          <w:marBottom w:val="0"/>
          <w:divBdr>
            <w:top w:val="none" w:sz="0" w:space="0" w:color="auto"/>
            <w:left w:val="none" w:sz="0" w:space="0" w:color="auto"/>
            <w:bottom w:val="none" w:sz="0" w:space="0" w:color="auto"/>
            <w:right w:val="none" w:sz="0" w:space="0" w:color="auto"/>
          </w:divBdr>
        </w:div>
        <w:div w:id="147406246">
          <w:marLeft w:val="0"/>
          <w:marRight w:val="0"/>
          <w:marTop w:val="0"/>
          <w:marBottom w:val="0"/>
          <w:divBdr>
            <w:top w:val="none" w:sz="0" w:space="0" w:color="auto"/>
            <w:left w:val="none" w:sz="0" w:space="0" w:color="auto"/>
            <w:bottom w:val="none" w:sz="0" w:space="0" w:color="auto"/>
            <w:right w:val="none" w:sz="0" w:space="0" w:color="auto"/>
          </w:divBdr>
        </w:div>
        <w:div w:id="247227105">
          <w:marLeft w:val="0"/>
          <w:marRight w:val="0"/>
          <w:marTop w:val="0"/>
          <w:marBottom w:val="0"/>
          <w:divBdr>
            <w:top w:val="none" w:sz="0" w:space="0" w:color="auto"/>
            <w:left w:val="none" w:sz="0" w:space="0" w:color="auto"/>
            <w:bottom w:val="none" w:sz="0" w:space="0" w:color="auto"/>
            <w:right w:val="none" w:sz="0" w:space="0" w:color="auto"/>
          </w:divBdr>
        </w:div>
        <w:div w:id="393508492">
          <w:marLeft w:val="0"/>
          <w:marRight w:val="0"/>
          <w:marTop w:val="0"/>
          <w:marBottom w:val="0"/>
          <w:divBdr>
            <w:top w:val="none" w:sz="0" w:space="0" w:color="auto"/>
            <w:left w:val="none" w:sz="0" w:space="0" w:color="auto"/>
            <w:bottom w:val="none" w:sz="0" w:space="0" w:color="auto"/>
            <w:right w:val="none" w:sz="0" w:space="0" w:color="auto"/>
          </w:divBdr>
        </w:div>
        <w:div w:id="752312303">
          <w:marLeft w:val="0"/>
          <w:marRight w:val="0"/>
          <w:marTop w:val="0"/>
          <w:marBottom w:val="0"/>
          <w:divBdr>
            <w:top w:val="none" w:sz="0" w:space="0" w:color="auto"/>
            <w:left w:val="none" w:sz="0" w:space="0" w:color="auto"/>
            <w:bottom w:val="none" w:sz="0" w:space="0" w:color="auto"/>
            <w:right w:val="none" w:sz="0" w:space="0" w:color="auto"/>
          </w:divBdr>
        </w:div>
        <w:div w:id="992872898">
          <w:marLeft w:val="0"/>
          <w:marRight w:val="0"/>
          <w:marTop w:val="0"/>
          <w:marBottom w:val="0"/>
          <w:divBdr>
            <w:top w:val="none" w:sz="0" w:space="0" w:color="auto"/>
            <w:left w:val="none" w:sz="0" w:space="0" w:color="auto"/>
            <w:bottom w:val="none" w:sz="0" w:space="0" w:color="auto"/>
            <w:right w:val="none" w:sz="0" w:space="0" w:color="auto"/>
          </w:divBdr>
        </w:div>
        <w:div w:id="1755007535">
          <w:marLeft w:val="0"/>
          <w:marRight w:val="0"/>
          <w:marTop w:val="0"/>
          <w:marBottom w:val="0"/>
          <w:divBdr>
            <w:top w:val="none" w:sz="0" w:space="0" w:color="auto"/>
            <w:left w:val="none" w:sz="0" w:space="0" w:color="auto"/>
            <w:bottom w:val="none" w:sz="0" w:space="0" w:color="auto"/>
            <w:right w:val="none" w:sz="0" w:space="0" w:color="auto"/>
          </w:divBdr>
        </w:div>
        <w:div w:id="1759323532">
          <w:marLeft w:val="0"/>
          <w:marRight w:val="0"/>
          <w:marTop w:val="0"/>
          <w:marBottom w:val="0"/>
          <w:divBdr>
            <w:top w:val="none" w:sz="0" w:space="0" w:color="auto"/>
            <w:left w:val="none" w:sz="0" w:space="0" w:color="auto"/>
            <w:bottom w:val="none" w:sz="0" w:space="0" w:color="auto"/>
            <w:right w:val="none" w:sz="0" w:space="0" w:color="auto"/>
          </w:divBdr>
        </w:div>
        <w:div w:id="1834299521">
          <w:marLeft w:val="0"/>
          <w:marRight w:val="0"/>
          <w:marTop w:val="0"/>
          <w:marBottom w:val="0"/>
          <w:divBdr>
            <w:top w:val="none" w:sz="0" w:space="0" w:color="auto"/>
            <w:left w:val="none" w:sz="0" w:space="0" w:color="auto"/>
            <w:bottom w:val="none" w:sz="0" w:space="0" w:color="auto"/>
            <w:right w:val="none" w:sz="0" w:space="0" w:color="auto"/>
          </w:divBdr>
        </w:div>
        <w:div w:id="1874420187">
          <w:marLeft w:val="0"/>
          <w:marRight w:val="0"/>
          <w:marTop w:val="0"/>
          <w:marBottom w:val="0"/>
          <w:divBdr>
            <w:top w:val="none" w:sz="0" w:space="0" w:color="auto"/>
            <w:left w:val="none" w:sz="0" w:space="0" w:color="auto"/>
            <w:bottom w:val="none" w:sz="0" w:space="0" w:color="auto"/>
            <w:right w:val="none" w:sz="0" w:space="0" w:color="auto"/>
          </w:divBdr>
        </w:div>
      </w:divsChild>
    </w:div>
    <w:div w:id="1474562290">
      <w:bodyDiv w:val="1"/>
      <w:marLeft w:val="0"/>
      <w:marRight w:val="0"/>
      <w:marTop w:val="0"/>
      <w:marBottom w:val="0"/>
      <w:divBdr>
        <w:top w:val="none" w:sz="0" w:space="0" w:color="auto"/>
        <w:left w:val="none" w:sz="0" w:space="0" w:color="auto"/>
        <w:bottom w:val="none" w:sz="0" w:space="0" w:color="auto"/>
        <w:right w:val="none" w:sz="0" w:space="0" w:color="auto"/>
      </w:divBdr>
      <w:divsChild>
        <w:div w:id="1581139625">
          <w:marLeft w:val="0"/>
          <w:marRight w:val="0"/>
          <w:marTop w:val="0"/>
          <w:marBottom w:val="0"/>
          <w:divBdr>
            <w:top w:val="none" w:sz="0" w:space="0" w:color="auto"/>
            <w:left w:val="none" w:sz="0" w:space="0" w:color="auto"/>
            <w:bottom w:val="none" w:sz="0" w:space="0" w:color="auto"/>
            <w:right w:val="none" w:sz="0" w:space="0" w:color="auto"/>
          </w:divBdr>
        </w:div>
        <w:div w:id="1694258939">
          <w:marLeft w:val="0"/>
          <w:marRight w:val="0"/>
          <w:marTop w:val="0"/>
          <w:marBottom w:val="0"/>
          <w:divBdr>
            <w:top w:val="none" w:sz="0" w:space="0" w:color="auto"/>
            <w:left w:val="none" w:sz="0" w:space="0" w:color="auto"/>
            <w:bottom w:val="none" w:sz="0" w:space="0" w:color="auto"/>
            <w:right w:val="none" w:sz="0" w:space="0" w:color="auto"/>
          </w:divBdr>
        </w:div>
        <w:div w:id="2112429459">
          <w:marLeft w:val="0"/>
          <w:marRight w:val="0"/>
          <w:marTop w:val="0"/>
          <w:marBottom w:val="0"/>
          <w:divBdr>
            <w:top w:val="none" w:sz="0" w:space="0" w:color="auto"/>
            <w:left w:val="none" w:sz="0" w:space="0" w:color="auto"/>
            <w:bottom w:val="none" w:sz="0" w:space="0" w:color="auto"/>
            <w:right w:val="none" w:sz="0" w:space="0" w:color="auto"/>
          </w:divBdr>
        </w:div>
        <w:div w:id="679429658">
          <w:marLeft w:val="0"/>
          <w:marRight w:val="0"/>
          <w:marTop w:val="0"/>
          <w:marBottom w:val="0"/>
          <w:divBdr>
            <w:top w:val="none" w:sz="0" w:space="0" w:color="auto"/>
            <w:left w:val="none" w:sz="0" w:space="0" w:color="auto"/>
            <w:bottom w:val="none" w:sz="0" w:space="0" w:color="auto"/>
            <w:right w:val="none" w:sz="0" w:space="0" w:color="auto"/>
          </w:divBdr>
        </w:div>
        <w:div w:id="15472516">
          <w:marLeft w:val="0"/>
          <w:marRight w:val="0"/>
          <w:marTop w:val="0"/>
          <w:marBottom w:val="0"/>
          <w:divBdr>
            <w:top w:val="none" w:sz="0" w:space="0" w:color="auto"/>
            <w:left w:val="none" w:sz="0" w:space="0" w:color="auto"/>
            <w:bottom w:val="none" w:sz="0" w:space="0" w:color="auto"/>
            <w:right w:val="none" w:sz="0" w:space="0" w:color="auto"/>
          </w:divBdr>
        </w:div>
        <w:div w:id="1014694373">
          <w:marLeft w:val="0"/>
          <w:marRight w:val="0"/>
          <w:marTop w:val="0"/>
          <w:marBottom w:val="0"/>
          <w:divBdr>
            <w:top w:val="none" w:sz="0" w:space="0" w:color="auto"/>
            <w:left w:val="none" w:sz="0" w:space="0" w:color="auto"/>
            <w:bottom w:val="none" w:sz="0" w:space="0" w:color="auto"/>
            <w:right w:val="none" w:sz="0" w:space="0" w:color="auto"/>
          </w:divBdr>
        </w:div>
        <w:div w:id="1105930512">
          <w:marLeft w:val="0"/>
          <w:marRight w:val="0"/>
          <w:marTop w:val="0"/>
          <w:marBottom w:val="0"/>
          <w:divBdr>
            <w:top w:val="none" w:sz="0" w:space="0" w:color="auto"/>
            <w:left w:val="none" w:sz="0" w:space="0" w:color="auto"/>
            <w:bottom w:val="none" w:sz="0" w:space="0" w:color="auto"/>
            <w:right w:val="none" w:sz="0" w:space="0" w:color="auto"/>
          </w:divBdr>
        </w:div>
      </w:divsChild>
    </w:div>
    <w:div w:id="1489176038">
      <w:bodyDiv w:val="1"/>
      <w:marLeft w:val="0"/>
      <w:marRight w:val="0"/>
      <w:marTop w:val="0"/>
      <w:marBottom w:val="0"/>
      <w:divBdr>
        <w:top w:val="none" w:sz="0" w:space="0" w:color="auto"/>
        <w:left w:val="none" w:sz="0" w:space="0" w:color="auto"/>
        <w:bottom w:val="none" w:sz="0" w:space="0" w:color="auto"/>
        <w:right w:val="none" w:sz="0" w:space="0" w:color="auto"/>
      </w:divBdr>
    </w:div>
    <w:div w:id="1506704685">
      <w:bodyDiv w:val="1"/>
      <w:marLeft w:val="0"/>
      <w:marRight w:val="0"/>
      <w:marTop w:val="0"/>
      <w:marBottom w:val="0"/>
      <w:divBdr>
        <w:top w:val="none" w:sz="0" w:space="0" w:color="auto"/>
        <w:left w:val="none" w:sz="0" w:space="0" w:color="auto"/>
        <w:bottom w:val="none" w:sz="0" w:space="0" w:color="auto"/>
        <w:right w:val="none" w:sz="0" w:space="0" w:color="auto"/>
      </w:divBdr>
    </w:div>
    <w:div w:id="1512135754">
      <w:bodyDiv w:val="1"/>
      <w:marLeft w:val="0"/>
      <w:marRight w:val="0"/>
      <w:marTop w:val="0"/>
      <w:marBottom w:val="0"/>
      <w:divBdr>
        <w:top w:val="none" w:sz="0" w:space="0" w:color="auto"/>
        <w:left w:val="none" w:sz="0" w:space="0" w:color="auto"/>
        <w:bottom w:val="none" w:sz="0" w:space="0" w:color="auto"/>
        <w:right w:val="none" w:sz="0" w:space="0" w:color="auto"/>
      </w:divBdr>
    </w:div>
    <w:div w:id="1517036945">
      <w:bodyDiv w:val="1"/>
      <w:marLeft w:val="0"/>
      <w:marRight w:val="0"/>
      <w:marTop w:val="0"/>
      <w:marBottom w:val="0"/>
      <w:divBdr>
        <w:top w:val="none" w:sz="0" w:space="0" w:color="auto"/>
        <w:left w:val="none" w:sz="0" w:space="0" w:color="auto"/>
        <w:bottom w:val="none" w:sz="0" w:space="0" w:color="auto"/>
        <w:right w:val="none" w:sz="0" w:space="0" w:color="auto"/>
      </w:divBdr>
    </w:div>
    <w:div w:id="1524979918">
      <w:bodyDiv w:val="1"/>
      <w:marLeft w:val="0"/>
      <w:marRight w:val="0"/>
      <w:marTop w:val="0"/>
      <w:marBottom w:val="0"/>
      <w:divBdr>
        <w:top w:val="none" w:sz="0" w:space="0" w:color="auto"/>
        <w:left w:val="none" w:sz="0" w:space="0" w:color="auto"/>
        <w:bottom w:val="none" w:sz="0" w:space="0" w:color="auto"/>
        <w:right w:val="none" w:sz="0" w:space="0" w:color="auto"/>
      </w:divBdr>
    </w:div>
    <w:div w:id="1525746083">
      <w:bodyDiv w:val="1"/>
      <w:marLeft w:val="0"/>
      <w:marRight w:val="0"/>
      <w:marTop w:val="0"/>
      <w:marBottom w:val="0"/>
      <w:divBdr>
        <w:top w:val="none" w:sz="0" w:space="0" w:color="auto"/>
        <w:left w:val="none" w:sz="0" w:space="0" w:color="auto"/>
        <w:bottom w:val="none" w:sz="0" w:space="0" w:color="auto"/>
        <w:right w:val="none" w:sz="0" w:space="0" w:color="auto"/>
      </w:divBdr>
    </w:div>
    <w:div w:id="1528181517">
      <w:bodyDiv w:val="1"/>
      <w:marLeft w:val="0"/>
      <w:marRight w:val="0"/>
      <w:marTop w:val="0"/>
      <w:marBottom w:val="0"/>
      <w:divBdr>
        <w:top w:val="none" w:sz="0" w:space="0" w:color="auto"/>
        <w:left w:val="none" w:sz="0" w:space="0" w:color="auto"/>
        <w:bottom w:val="none" w:sz="0" w:space="0" w:color="auto"/>
        <w:right w:val="none" w:sz="0" w:space="0" w:color="auto"/>
      </w:divBdr>
    </w:div>
    <w:div w:id="1533110887">
      <w:bodyDiv w:val="1"/>
      <w:marLeft w:val="0"/>
      <w:marRight w:val="0"/>
      <w:marTop w:val="0"/>
      <w:marBottom w:val="0"/>
      <w:divBdr>
        <w:top w:val="none" w:sz="0" w:space="0" w:color="auto"/>
        <w:left w:val="none" w:sz="0" w:space="0" w:color="auto"/>
        <w:bottom w:val="none" w:sz="0" w:space="0" w:color="auto"/>
        <w:right w:val="none" w:sz="0" w:space="0" w:color="auto"/>
      </w:divBdr>
    </w:div>
    <w:div w:id="1603758070">
      <w:bodyDiv w:val="1"/>
      <w:marLeft w:val="0"/>
      <w:marRight w:val="0"/>
      <w:marTop w:val="0"/>
      <w:marBottom w:val="0"/>
      <w:divBdr>
        <w:top w:val="none" w:sz="0" w:space="0" w:color="auto"/>
        <w:left w:val="none" w:sz="0" w:space="0" w:color="auto"/>
        <w:bottom w:val="none" w:sz="0" w:space="0" w:color="auto"/>
        <w:right w:val="none" w:sz="0" w:space="0" w:color="auto"/>
      </w:divBdr>
    </w:div>
    <w:div w:id="1652905672">
      <w:bodyDiv w:val="1"/>
      <w:marLeft w:val="0"/>
      <w:marRight w:val="0"/>
      <w:marTop w:val="0"/>
      <w:marBottom w:val="0"/>
      <w:divBdr>
        <w:top w:val="none" w:sz="0" w:space="0" w:color="auto"/>
        <w:left w:val="none" w:sz="0" w:space="0" w:color="auto"/>
        <w:bottom w:val="none" w:sz="0" w:space="0" w:color="auto"/>
        <w:right w:val="none" w:sz="0" w:space="0" w:color="auto"/>
      </w:divBdr>
    </w:div>
    <w:div w:id="1672022777">
      <w:bodyDiv w:val="1"/>
      <w:marLeft w:val="0"/>
      <w:marRight w:val="0"/>
      <w:marTop w:val="0"/>
      <w:marBottom w:val="0"/>
      <w:divBdr>
        <w:top w:val="none" w:sz="0" w:space="0" w:color="auto"/>
        <w:left w:val="none" w:sz="0" w:space="0" w:color="auto"/>
        <w:bottom w:val="none" w:sz="0" w:space="0" w:color="auto"/>
        <w:right w:val="none" w:sz="0" w:space="0" w:color="auto"/>
      </w:divBdr>
    </w:div>
    <w:div w:id="1684897174">
      <w:bodyDiv w:val="1"/>
      <w:marLeft w:val="0"/>
      <w:marRight w:val="0"/>
      <w:marTop w:val="0"/>
      <w:marBottom w:val="0"/>
      <w:divBdr>
        <w:top w:val="none" w:sz="0" w:space="0" w:color="auto"/>
        <w:left w:val="none" w:sz="0" w:space="0" w:color="auto"/>
        <w:bottom w:val="none" w:sz="0" w:space="0" w:color="auto"/>
        <w:right w:val="none" w:sz="0" w:space="0" w:color="auto"/>
      </w:divBdr>
    </w:div>
    <w:div w:id="1691295638">
      <w:bodyDiv w:val="1"/>
      <w:marLeft w:val="0"/>
      <w:marRight w:val="0"/>
      <w:marTop w:val="0"/>
      <w:marBottom w:val="0"/>
      <w:divBdr>
        <w:top w:val="none" w:sz="0" w:space="0" w:color="auto"/>
        <w:left w:val="none" w:sz="0" w:space="0" w:color="auto"/>
        <w:bottom w:val="none" w:sz="0" w:space="0" w:color="auto"/>
        <w:right w:val="none" w:sz="0" w:space="0" w:color="auto"/>
      </w:divBdr>
    </w:div>
    <w:div w:id="1698777616">
      <w:bodyDiv w:val="1"/>
      <w:marLeft w:val="0"/>
      <w:marRight w:val="0"/>
      <w:marTop w:val="0"/>
      <w:marBottom w:val="0"/>
      <w:divBdr>
        <w:top w:val="none" w:sz="0" w:space="0" w:color="auto"/>
        <w:left w:val="none" w:sz="0" w:space="0" w:color="auto"/>
        <w:bottom w:val="none" w:sz="0" w:space="0" w:color="auto"/>
        <w:right w:val="none" w:sz="0" w:space="0" w:color="auto"/>
      </w:divBdr>
    </w:div>
    <w:div w:id="1704861815">
      <w:bodyDiv w:val="1"/>
      <w:marLeft w:val="0"/>
      <w:marRight w:val="0"/>
      <w:marTop w:val="0"/>
      <w:marBottom w:val="0"/>
      <w:divBdr>
        <w:top w:val="none" w:sz="0" w:space="0" w:color="auto"/>
        <w:left w:val="none" w:sz="0" w:space="0" w:color="auto"/>
        <w:bottom w:val="none" w:sz="0" w:space="0" w:color="auto"/>
        <w:right w:val="none" w:sz="0" w:space="0" w:color="auto"/>
      </w:divBdr>
    </w:div>
    <w:div w:id="1715959726">
      <w:bodyDiv w:val="1"/>
      <w:marLeft w:val="0"/>
      <w:marRight w:val="0"/>
      <w:marTop w:val="0"/>
      <w:marBottom w:val="0"/>
      <w:divBdr>
        <w:top w:val="none" w:sz="0" w:space="0" w:color="auto"/>
        <w:left w:val="none" w:sz="0" w:space="0" w:color="auto"/>
        <w:bottom w:val="none" w:sz="0" w:space="0" w:color="auto"/>
        <w:right w:val="none" w:sz="0" w:space="0" w:color="auto"/>
      </w:divBdr>
    </w:div>
    <w:div w:id="1735005307">
      <w:bodyDiv w:val="1"/>
      <w:marLeft w:val="0"/>
      <w:marRight w:val="0"/>
      <w:marTop w:val="0"/>
      <w:marBottom w:val="0"/>
      <w:divBdr>
        <w:top w:val="none" w:sz="0" w:space="0" w:color="auto"/>
        <w:left w:val="none" w:sz="0" w:space="0" w:color="auto"/>
        <w:bottom w:val="none" w:sz="0" w:space="0" w:color="auto"/>
        <w:right w:val="none" w:sz="0" w:space="0" w:color="auto"/>
      </w:divBdr>
    </w:div>
    <w:div w:id="1739742534">
      <w:bodyDiv w:val="1"/>
      <w:marLeft w:val="0"/>
      <w:marRight w:val="0"/>
      <w:marTop w:val="0"/>
      <w:marBottom w:val="0"/>
      <w:divBdr>
        <w:top w:val="none" w:sz="0" w:space="0" w:color="auto"/>
        <w:left w:val="none" w:sz="0" w:space="0" w:color="auto"/>
        <w:bottom w:val="none" w:sz="0" w:space="0" w:color="auto"/>
        <w:right w:val="none" w:sz="0" w:space="0" w:color="auto"/>
      </w:divBdr>
    </w:div>
    <w:div w:id="1758866099">
      <w:bodyDiv w:val="1"/>
      <w:marLeft w:val="0"/>
      <w:marRight w:val="0"/>
      <w:marTop w:val="0"/>
      <w:marBottom w:val="0"/>
      <w:divBdr>
        <w:top w:val="none" w:sz="0" w:space="0" w:color="auto"/>
        <w:left w:val="none" w:sz="0" w:space="0" w:color="auto"/>
        <w:bottom w:val="none" w:sz="0" w:space="0" w:color="auto"/>
        <w:right w:val="none" w:sz="0" w:space="0" w:color="auto"/>
      </w:divBdr>
    </w:div>
    <w:div w:id="1814326368">
      <w:bodyDiv w:val="1"/>
      <w:marLeft w:val="0"/>
      <w:marRight w:val="0"/>
      <w:marTop w:val="0"/>
      <w:marBottom w:val="0"/>
      <w:divBdr>
        <w:top w:val="none" w:sz="0" w:space="0" w:color="auto"/>
        <w:left w:val="none" w:sz="0" w:space="0" w:color="auto"/>
        <w:bottom w:val="none" w:sz="0" w:space="0" w:color="auto"/>
        <w:right w:val="none" w:sz="0" w:space="0" w:color="auto"/>
      </w:divBdr>
    </w:div>
    <w:div w:id="1816095290">
      <w:bodyDiv w:val="1"/>
      <w:marLeft w:val="0"/>
      <w:marRight w:val="0"/>
      <w:marTop w:val="0"/>
      <w:marBottom w:val="0"/>
      <w:divBdr>
        <w:top w:val="none" w:sz="0" w:space="0" w:color="auto"/>
        <w:left w:val="none" w:sz="0" w:space="0" w:color="auto"/>
        <w:bottom w:val="none" w:sz="0" w:space="0" w:color="auto"/>
        <w:right w:val="none" w:sz="0" w:space="0" w:color="auto"/>
      </w:divBdr>
    </w:div>
    <w:div w:id="1824812189">
      <w:bodyDiv w:val="1"/>
      <w:marLeft w:val="0"/>
      <w:marRight w:val="0"/>
      <w:marTop w:val="0"/>
      <w:marBottom w:val="0"/>
      <w:divBdr>
        <w:top w:val="none" w:sz="0" w:space="0" w:color="auto"/>
        <w:left w:val="none" w:sz="0" w:space="0" w:color="auto"/>
        <w:bottom w:val="none" w:sz="0" w:space="0" w:color="auto"/>
        <w:right w:val="none" w:sz="0" w:space="0" w:color="auto"/>
      </w:divBdr>
    </w:div>
    <w:div w:id="1857235818">
      <w:bodyDiv w:val="1"/>
      <w:marLeft w:val="0"/>
      <w:marRight w:val="0"/>
      <w:marTop w:val="0"/>
      <w:marBottom w:val="0"/>
      <w:divBdr>
        <w:top w:val="none" w:sz="0" w:space="0" w:color="auto"/>
        <w:left w:val="none" w:sz="0" w:space="0" w:color="auto"/>
        <w:bottom w:val="none" w:sz="0" w:space="0" w:color="auto"/>
        <w:right w:val="none" w:sz="0" w:space="0" w:color="auto"/>
      </w:divBdr>
    </w:div>
    <w:div w:id="1859274659">
      <w:bodyDiv w:val="1"/>
      <w:marLeft w:val="0"/>
      <w:marRight w:val="0"/>
      <w:marTop w:val="0"/>
      <w:marBottom w:val="0"/>
      <w:divBdr>
        <w:top w:val="none" w:sz="0" w:space="0" w:color="auto"/>
        <w:left w:val="none" w:sz="0" w:space="0" w:color="auto"/>
        <w:bottom w:val="none" w:sz="0" w:space="0" w:color="auto"/>
        <w:right w:val="none" w:sz="0" w:space="0" w:color="auto"/>
      </w:divBdr>
    </w:div>
    <w:div w:id="1860117201">
      <w:bodyDiv w:val="1"/>
      <w:marLeft w:val="0"/>
      <w:marRight w:val="0"/>
      <w:marTop w:val="0"/>
      <w:marBottom w:val="0"/>
      <w:divBdr>
        <w:top w:val="none" w:sz="0" w:space="0" w:color="auto"/>
        <w:left w:val="none" w:sz="0" w:space="0" w:color="auto"/>
        <w:bottom w:val="none" w:sz="0" w:space="0" w:color="auto"/>
        <w:right w:val="none" w:sz="0" w:space="0" w:color="auto"/>
      </w:divBdr>
      <w:divsChild>
        <w:div w:id="1302073458">
          <w:marLeft w:val="0"/>
          <w:marRight w:val="0"/>
          <w:marTop w:val="0"/>
          <w:marBottom w:val="0"/>
          <w:divBdr>
            <w:top w:val="none" w:sz="0" w:space="0" w:color="auto"/>
            <w:left w:val="none" w:sz="0" w:space="0" w:color="auto"/>
            <w:bottom w:val="none" w:sz="0" w:space="0" w:color="auto"/>
            <w:right w:val="none" w:sz="0" w:space="0" w:color="auto"/>
          </w:divBdr>
        </w:div>
        <w:div w:id="1792554960">
          <w:marLeft w:val="0"/>
          <w:marRight w:val="0"/>
          <w:marTop w:val="0"/>
          <w:marBottom w:val="0"/>
          <w:divBdr>
            <w:top w:val="none" w:sz="0" w:space="0" w:color="auto"/>
            <w:left w:val="none" w:sz="0" w:space="0" w:color="auto"/>
            <w:bottom w:val="none" w:sz="0" w:space="0" w:color="auto"/>
            <w:right w:val="none" w:sz="0" w:space="0" w:color="auto"/>
          </w:divBdr>
        </w:div>
        <w:div w:id="961964022">
          <w:marLeft w:val="0"/>
          <w:marRight w:val="0"/>
          <w:marTop w:val="0"/>
          <w:marBottom w:val="0"/>
          <w:divBdr>
            <w:top w:val="none" w:sz="0" w:space="0" w:color="auto"/>
            <w:left w:val="none" w:sz="0" w:space="0" w:color="auto"/>
            <w:bottom w:val="none" w:sz="0" w:space="0" w:color="auto"/>
            <w:right w:val="none" w:sz="0" w:space="0" w:color="auto"/>
          </w:divBdr>
        </w:div>
        <w:div w:id="2071612987">
          <w:marLeft w:val="0"/>
          <w:marRight w:val="0"/>
          <w:marTop w:val="0"/>
          <w:marBottom w:val="0"/>
          <w:divBdr>
            <w:top w:val="none" w:sz="0" w:space="0" w:color="auto"/>
            <w:left w:val="none" w:sz="0" w:space="0" w:color="auto"/>
            <w:bottom w:val="none" w:sz="0" w:space="0" w:color="auto"/>
            <w:right w:val="none" w:sz="0" w:space="0" w:color="auto"/>
          </w:divBdr>
        </w:div>
        <w:div w:id="1386297969">
          <w:marLeft w:val="0"/>
          <w:marRight w:val="0"/>
          <w:marTop w:val="0"/>
          <w:marBottom w:val="0"/>
          <w:divBdr>
            <w:top w:val="none" w:sz="0" w:space="0" w:color="auto"/>
            <w:left w:val="none" w:sz="0" w:space="0" w:color="auto"/>
            <w:bottom w:val="none" w:sz="0" w:space="0" w:color="auto"/>
            <w:right w:val="none" w:sz="0" w:space="0" w:color="auto"/>
          </w:divBdr>
        </w:div>
        <w:div w:id="679239541">
          <w:marLeft w:val="0"/>
          <w:marRight w:val="0"/>
          <w:marTop w:val="0"/>
          <w:marBottom w:val="0"/>
          <w:divBdr>
            <w:top w:val="none" w:sz="0" w:space="0" w:color="auto"/>
            <w:left w:val="none" w:sz="0" w:space="0" w:color="auto"/>
            <w:bottom w:val="none" w:sz="0" w:space="0" w:color="auto"/>
            <w:right w:val="none" w:sz="0" w:space="0" w:color="auto"/>
          </w:divBdr>
        </w:div>
        <w:div w:id="1088847777">
          <w:marLeft w:val="0"/>
          <w:marRight w:val="0"/>
          <w:marTop w:val="0"/>
          <w:marBottom w:val="0"/>
          <w:divBdr>
            <w:top w:val="none" w:sz="0" w:space="0" w:color="auto"/>
            <w:left w:val="none" w:sz="0" w:space="0" w:color="auto"/>
            <w:bottom w:val="none" w:sz="0" w:space="0" w:color="auto"/>
            <w:right w:val="none" w:sz="0" w:space="0" w:color="auto"/>
          </w:divBdr>
        </w:div>
        <w:div w:id="1891575727">
          <w:marLeft w:val="0"/>
          <w:marRight w:val="0"/>
          <w:marTop w:val="0"/>
          <w:marBottom w:val="0"/>
          <w:divBdr>
            <w:top w:val="none" w:sz="0" w:space="0" w:color="auto"/>
            <w:left w:val="none" w:sz="0" w:space="0" w:color="auto"/>
            <w:bottom w:val="none" w:sz="0" w:space="0" w:color="auto"/>
            <w:right w:val="none" w:sz="0" w:space="0" w:color="auto"/>
          </w:divBdr>
        </w:div>
        <w:div w:id="1976060770">
          <w:marLeft w:val="0"/>
          <w:marRight w:val="0"/>
          <w:marTop w:val="0"/>
          <w:marBottom w:val="0"/>
          <w:divBdr>
            <w:top w:val="none" w:sz="0" w:space="0" w:color="auto"/>
            <w:left w:val="none" w:sz="0" w:space="0" w:color="auto"/>
            <w:bottom w:val="none" w:sz="0" w:space="0" w:color="auto"/>
            <w:right w:val="none" w:sz="0" w:space="0" w:color="auto"/>
          </w:divBdr>
        </w:div>
        <w:div w:id="426537806">
          <w:marLeft w:val="0"/>
          <w:marRight w:val="0"/>
          <w:marTop w:val="0"/>
          <w:marBottom w:val="0"/>
          <w:divBdr>
            <w:top w:val="none" w:sz="0" w:space="0" w:color="auto"/>
            <w:left w:val="none" w:sz="0" w:space="0" w:color="auto"/>
            <w:bottom w:val="none" w:sz="0" w:space="0" w:color="auto"/>
            <w:right w:val="none" w:sz="0" w:space="0" w:color="auto"/>
          </w:divBdr>
        </w:div>
        <w:div w:id="545988078">
          <w:marLeft w:val="0"/>
          <w:marRight w:val="0"/>
          <w:marTop w:val="0"/>
          <w:marBottom w:val="0"/>
          <w:divBdr>
            <w:top w:val="none" w:sz="0" w:space="0" w:color="auto"/>
            <w:left w:val="none" w:sz="0" w:space="0" w:color="auto"/>
            <w:bottom w:val="none" w:sz="0" w:space="0" w:color="auto"/>
            <w:right w:val="none" w:sz="0" w:space="0" w:color="auto"/>
          </w:divBdr>
        </w:div>
        <w:div w:id="1451701795">
          <w:marLeft w:val="0"/>
          <w:marRight w:val="0"/>
          <w:marTop w:val="0"/>
          <w:marBottom w:val="0"/>
          <w:divBdr>
            <w:top w:val="none" w:sz="0" w:space="0" w:color="auto"/>
            <w:left w:val="none" w:sz="0" w:space="0" w:color="auto"/>
            <w:bottom w:val="none" w:sz="0" w:space="0" w:color="auto"/>
            <w:right w:val="none" w:sz="0" w:space="0" w:color="auto"/>
          </w:divBdr>
        </w:div>
        <w:div w:id="1825124818">
          <w:marLeft w:val="0"/>
          <w:marRight w:val="0"/>
          <w:marTop w:val="0"/>
          <w:marBottom w:val="0"/>
          <w:divBdr>
            <w:top w:val="none" w:sz="0" w:space="0" w:color="auto"/>
            <w:left w:val="none" w:sz="0" w:space="0" w:color="auto"/>
            <w:bottom w:val="none" w:sz="0" w:space="0" w:color="auto"/>
            <w:right w:val="none" w:sz="0" w:space="0" w:color="auto"/>
          </w:divBdr>
        </w:div>
        <w:div w:id="1502043826">
          <w:marLeft w:val="0"/>
          <w:marRight w:val="0"/>
          <w:marTop w:val="0"/>
          <w:marBottom w:val="0"/>
          <w:divBdr>
            <w:top w:val="none" w:sz="0" w:space="0" w:color="auto"/>
            <w:left w:val="none" w:sz="0" w:space="0" w:color="auto"/>
            <w:bottom w:val="none" w:sz="0" w:space="0" w:color="auto"/>
            <w:right w:val="none" w:sz="0" w:space="0" w:color="auto"/>
          </w:divBdr>
        </w:div>
        <w:div w:id="1954628909">
          <w:marLeft w:val="0"/>
          <w:marRight w:val="0"/>
          <w:marTop w:val="0"/>
          <w:marBottom w:val="0"/>
          <w:divBdr>
            <w:top w:val="none" w:sz="0" w:space="0" w:color="auto"/>
            <w:left w:val="none" w:sz="0" w:space="0" w:color="auto"/>
            <w:bottom w:val="none" w:sz="0" w:space="0" w:color="auto"/>
            <w:right w:val="none" w:sz="0" w:space="0" w:color="auto"/>
          </w:divBdr>
        </w:div>
      </w:divsChild>
    </w:div>
    <w:div w:id="1885481577">
      <w:bodyDiv w:val="1"/>
      <w:marLeft w:val="0"/>
      <w:marRight w:val="0"/>
      <w:marTop w:val="0"/>
      <w:marBottom w:val="0"/>
      <w:divBdr>
        <w:top w:val="none" w:sz="0" w:space="0" w:color="auto"/>
        <w:left w:val="none" w:sz="0" w:space="0" w:color="auto"/>
        <w:bottom w:val="none" w:sz="0" w:space="0" w:color="auto"/>
        <w:right w:val="none" w:sz="0" w:space="0" w:color="auto"/>
      </w:divBdr>
    </w:div>
    <w:div w:id="1924797100">
      <w:bodyDiv w:val="1"/>
      <w:marLeft w:val="0"/>
      <w:marRight w:val="0"/>
      <w:marTop w:val="0"/>
      <w:marBottom w:val="0"/>
      <w:divBdr>
        <w:top w:val="none" w:sz="0" w:space="0" w:color="auto"/>
        <w:left w:val="none" w:sz="0" w:space="0" w:color="auto"/>
        <w:bottom w:val="none" w:sz="0" w:space="0" w:color="auto"/>
        <w:right w:val="none" w:sz="0" w:space="0" w:color="auto"/>
      </w:divBdr>
    </w:div>
    <w:div w:id="1928876601">
      <w:bodyDiv w:val="1"/>
      <w:marLeft w:val="0"/>
      <w:marRight w:val="0"/>
      <w:marTop w:val="0"/>
      <w:marBottom w:val="0"/>
      <w:divBdr>
        <w:top w:val="none" w:sz="0" w:space="0" w:color="auto"/>
        <w:left w:val="none" w:sz="0" w:space="0" w:color="auto"/>
        <w:bottom w:val="none" w:sz="0" w:space="0" w:color="auto"/>
        <w:right w:val="none" w:sz="0" w:space="0" w:color="auto"/>
      </w:divBdr>
    </w:div>
    <w:div w:id="1960647329">
      <w:bodyDiv w:val="1"/>
      <w:marLeft w:val="0"/>
      <w:marRight w:val="0"/>
      <w:marTop w:val="0"/>
      <w:marBottom w:val="0"/>
      <w:divBdr>
        <w:top w:val="none" w:sz="0" w:space="0" w:color="auto"/>
        <w:left w:val="none" w:sz="0" w:space="0" w:color="auto"/>
        <w:bottom w:val="none" w:sz="0" w:space="0" w:color="auto"/>
        <w:right w:val="none" w:sz="0" w:space="0" w:color="auto"/>
      </w:divBdr>
      <w:divsChild>
        <w:div w:id="1967153122">
          <w:marLeft w:val="0"/>
          <w:marRight w:val="0"/>
          <w:marTop w:val="0"/>
          <w:marBottom w:val="0"/>
          <w:divBdr>
            <w:top w:val="none" w:sz="0" w:space="0" w:color="auto"/>
            <w:left w:val="none" w:sz="0" w:space="0" w:color="auto"/>
            <w:bottom w:val="none" w:sz="0" w:space="0" w:color="auto"/>
            <w:right w:val="none" w:sz="0" w:space="0" w:color="auto"/>
          </w:divBdr>
        </w:div>
        <w:div w:id="286549573">
          <w:marLeft w:val="0"/>
          <w:marRight w:val="0"/>
          <w:marTop w:val="0"/>
          <w:marBottom w:val="0"/>
          <w:divBdr>
            <w:top w:val="none" w:sz="0" w:space="0" w:color="auto"/>
            <w:left w:val="none" w:sz="0" w:space="0" w:color="auto"/>
            <w:bottom w:val="none" w:sz="0" w:space="0" w:color="auto"/>
            <w:right w:val="none" w:sz="0" w:space="0" w:color="auto"/>
          </w:divBdr>
        </w:div>
        <w:div w:id="2029288990">
          <w:marLeft w:val="0"/>
          <w:marRight w:val="0"/>
          <w:marTop w:val="0"/>
          <w:marBottom w:val="0"/>
          <w:divBdr>
            <w:top w:val="none" w:sz="0" w:space="0" w:color="auto"/>
            <w:left w:val="none" w:sz="0" w:space="0" w:color="auto"/>
            <w:bottom w:val="none" w:sz="0" w:space="0" w:color="auto"/>
            <w:right w:val="none" w:sz="0" w:space="0" w:color="auto"/>
          </w:divBdr>
        </w:div>
        <w:div w:id="79835069">
          <w:marLeft w:val="0"/>
          <w:marRight w:val="0"/>
          <w:marTop w:val="0"/>
          <w:marBottom w:val="0"/>
          <w:divBdr>
            <w:top w:val="none" w:sz="0" w:space="0" w:color="auto"/>
            <w:left w:val="none" w:sz="0" w:space="0" w:color="auto"/>
            <w:bottom w:val="none" w:sz="0" w:space="0" w:color="auto"/>
            <w:right w:val="none" w:sz="0" w:space="0" w:color="auto"/>
          </w:divBdr>
        </w:div>
        <w:div w:id="2107841204">
          <w:marLeft w:val="0"/>
          <w:marRight w:val="0"/>
          <w:marTop w:val="0"/>
          <w:marBottom w:val="0"/>
          <w:divBdr>
            <w:top w:val="none" w:sz="0" w:space="0" w:color="auto"/>
            <w:left w:val="none" w:sz="0" w:space="0" w:color="auto"/>
            <w:bottom w:val="none" w:sz="0" w:space="0" w:color="auto"/>
            <w:right w:val="none" w:sz="0" w:space="0" w:color="auto"/>
          </w:divBdr>
        </w:div>
        <w:div w:id="1761245626">
          <w:marLeft w:val="0"/>
          <w:marRight w:val="0"/>
          <w:marTop w:val="0"/>
          <w:marBottom w:val="0"/>
          <w:divBdr>
            <w:top w:val="none" w:sz="0" w:space="0" w:color="auto"/>
            <w:left w:val="none" w:sz="0" w:space="0" w:color="auto"/>
            <w:bottom w:val="none" w:sz="0" w:space="0" w:color="auto"/>
            <w:right w:val="none" w:sz="0" w:space="0" w:color="auto"/>
          </w:divBdr>
        </w:div>
        <w:div w:id="1944918043">
          <w:marLeft w:val="0"/>
          <w:marRight w:val="0"/>
          <w:marTop w:val="0"/>
          <w:marBottom w:val="0"/>
          <w:divBdr>
            <w:top w:val="none" w:sz="0" w:space="0" w:color="auto"/>
            <w:left w:val="none" w:sz="0" w:space="0" w:color="auto"/>
            <w:bottom w:val="none" w:sz="0" w:space="0" w:color="auto"/>
            <w:right w:val="none" w:sz="0" w:space="0" w:color="auto"/>
          </w:divBdr>
        </w:div>
        <w:div w:id="1474756846">
          <w:marLeft w:val="0"/>
          <w:marRight w:val="0"/>
          <w:marTop w:val="0"/>
          <w:marBottom w:val="0"/>
          <w:divBdr>
            <w:top w:val="none" w:sz="0" w:space="0" w:color="auto"/>
            <w:left w:val="none" w:sz="0" w:space="0" w:color="auto"/>
            <w:bottom w:val="none" w:sz="0" w:space="0" w:color="auto"/>
            <w:right w:val="none" w:sz="0" w:space="0" w:color="auto"/>
          </w:divBdr>
        </w:div>
        <w:div w:id="579102576">
          <w:marLeft w:val="0"/>
          <w:marRight w:val="0"/>
          <w:marTop w:val="0"/>
          <w:marBottom w:val="0"/>
          <w:divBdr>
            <w:top w:val="none" w:sz="0" w:space="0" w:color="auto"/>
            <w:left w:val="none" w:sz="0" w:space="0" w:color="auto"/>
            <w:bottom w:val="none" w:sz="0" w:space="0" w:color="auto"/>
            <w:right w:val="none" w:sz="0" w:space="0" w:color="auto"/>
          </w:divBdr>
        </w:div>
        <w:div w:id="1414812679">
          <w:marLeft w:val="0"/>
          <w:marRight w:val="0"/>
          <w:marTop w:val="0"/>
          <w:marBottom w:val="0"/>
          <w:divBdr>
            <w:top w:val="none" w:sz="0" w:space="0" w:color="auto"/>
            <w:left w:val="none" w:sz="0" w:space="0" w:color="auto"/>
            <w:bottom w:val="none" w:sz="0" w:space="0" w:color="auto"/>
            <w:right w:val="none" w:sz="0" w:space="0" w:color="auto"/>
          </w:divBdr>
        </w:div>
        <w:div w:id="1153333694">
          <w:marLeft w:val="0"/>
          <w:marRight w:val="0"/>
          <w:marTop w:val="0"/>
          <w:marBottom w:val="0"/>
          <w:divBdr>
            <w:top w:val="none" w:sz="0" w:space="0" w:color="auto"/>
            <w:left w:val="none" w:sz="0" w:space="0" w:color="auto"/>
            <w:bottom w:val="none" w:sz="0" w:space="0" w:color="auto"/>
            <w:right w:val="none" w:sz="0" w:space="0" w:color="auto"/>
          </w:divBdr>
        </w:div>
        <w:div w:id="583681526">
          <w:marLeft w:val="0"/>
          <w:marRight w:val="0"/>
          <w:marTop w:val="0"/>
          <w:marBottom w:val="0"/>
          <w:divBdr>
            <w:top w:val="none" w:sz="0" w:space="0" w:color="auto"/>
            <w:left w:val="none" w:sz="0" w:space="0" w:color="auto"/>
            <w:bottom w:val="none" w:sz="0" w:space="0" w:color="auto"/>
            <w:right w:val="none" w:sz="0" w:space="0" w:color="auto"/>
          </w:divBdr>
        </w:div>
        <w:div w:id="72632634">
          <w:marLeft w:val="0"/>
          <w:marRight w:val="0"/>
          <w:marTop w:val="0"/>
          <w:marBottom w:val="0"/>
          <w:divBdr>
            <w:top w:val="none" w:sz="0" w:space="0" w:color="auto"/>
            <w:left w:val="none" w:sz="0" w:space="0" w:color="auto"/>
            <w:bottom w:val="none" w:sz="0" w:space="0" w:color="auto"/>
            <w:right w:val="none" w:sz="0" w:space="0" w:color="auto"/>
          </w:divBdr>
        </w:div>
        <w:div w:id="1428769276">
          <w:marLeft w:val="0"/>
          <w:marRight w:val="0"/>
          <w:marTop w:val="0"/>
          <w:marBottom w:val="0"/>
          <w:divBdr>
            <w:top w:val="none" w:sz="0" w:space="0" w:color="auto"/>
            <w:left w:val="none" w:sz="0" w:space="0" w:color="auto"/>
            <w:bottom w:val="none" w:sz="0" w:space="0" w:color="auto"/>
            <w:right w:val="none" w:sz="0" w:space="0" w:color="auto"/>
          </w:divBdr>
        </w:div>
        <w:div w:id="1646664565">
          <w:marLeft w:val="0"/>
          <w:marRight w:val="0"/>
          <w:marTop w:val="0"/>
          <w:marBottom w:val="0"/>
          <w:divBdr>
            <w:top w:val="none" w:sz="0" w:space="0" w:color="auto"/>
            <w:left w:val="none" w:sz="0" w:space="0" w:color="auto"/>
            <w:bottom w:val="none" w:sz="0" w:space="0" w:color="auto"/>
            <w:right w:val="none" w:sz="0" w:space="0" w:color="auto"/>
          </w:divBdr>
        </w:div>
        <w:div w:id="1417020946">
          <w:marLeft w:val="0"/>
          <w:marRight w:val="0"/>
          <w:marTop w:val="0"/>
          <w:marBottom w:val="0"/>
          <w:divBdr>
            <w:top w:val="none" w:sz="0" w:space="0" w:color="auto"/>
            <w:left w:val="none" w:sz="0" w:space="0" w:color="auto"/>
            <w:bottom w:val="none" w:sz="0" w:space="0" w:color="auto"/>
            <w:right w:val="none" w:sz="0" w:space="0" w:color="auto"/>
          </w:divBdr>
        </w:div>
        <w:div w:id="1770588841">
          <w:marLeft w:val="0"/>
          <w:marRight w:val="0"/>
          <w:marTop w:val="0"/>
          <w:marBottom w:val="0"/>
          <w:divBdr>
            <w:top w:val="none" w:sz="0" w:space="0" w:color="auto"/>
            <w:left w:val="none" w:sz="0" w:space="0" w:color="auto"/>
            <w:bottom w:val="none" w:sz="0" w:space="0" w:color="auto"/>
            <w:right w:val="none" w:sz="0" w:space="0" w:color="auto"/>
          </w:divBdr>
        </w:div>
      </w:divsChild>
    </w:div>
    <w:div w:id="1976986029">
      <w:bodyDiv w:val="1"/>
      <w:marLeft w:val="0"/>
      <w:marRight w:val="0"/>
      <w:marTop w:val="0"/>
      <w:marBottom w:val="0"/>
      <w:divBdr>
        <w:top w:val="none" w:sz="0" w:space="0" w:color="auto"/>
        <w:left w:val="none" w:sz="0" w:space="0" w:color="auto"/>
        <w:bottom w:val="none" w:sz="0" w:space="0" w:color="auto"/>
        <w:right w:val="none" w:sz="0" w:space="0" w:color="auto"/>
      </w:divBdr>
      <w:divsChild>
        <w:div w:id="1791892922">
          <w:marLeft w:val="0"/>
          <w:marRight w:val="0"/>
          <w:marTop w:val="0"/>
          <w:marBottom w:val="0"/>
          <w:divBdr>
            <w:top w:val="none" w:sz="0" w:space="0" w:color="auto"/>
            <w:left w:val="none" w:sz="0" w:space="0" w:color="auto"/>
            <w:bottom w:val="none" w:sz="0" w:space="0" w:color="auto"/>
            <w:right w:val="none" w:sz="0" w:space="0" w:color="auto"/>
          </w:divBdr>
        </w:div>
      </w:divsChild>
    </w:div>
    <w:div w:id="1991398276">
      <w:bodyDiv w:val="1"/>
      <w:marLeft w:val="0"/>
      <w:marRight w:val="0"/>
      <w:marTop w:val="0"/>
      <w:marBottom w:val="0"/>
      <w:divBdr>
        <w:top w:val="none" w:sz="0" w:space="0" w:color="auto"/>
        <w:left w:val="none" w:sz="0" w:space="0" w:color="auto"/>
        <w:bottom w:val="none" w:sz="0" w:space="0" w:color="auto"/>
        <w:right w:val="none" w:sz="0" w:space="0" w:color="auto"/>
      </w:divBdr>
    </w:div>
    <w:div w:id="2042627474">
      <w:bodyDiv w:val="1"/>
      <w:marLeft w:val="0"/>
      <w:marRight w:val="0"/>
      <w:marTop w:val="0"/>
      <w:marBottom w:val="0"/>
      <w:divBdr>
        <w:top w:val="none" w:sz="0" w:space="0" w:color="auto"/>
        <w:left w:val="none" w:sz="0" w:space="0" w:color="auto"/>
        <w:bottom w:val="none" w:sz="0" w:space="0" w:color="auto"/>
        <w:right w:val="none" w:sz="0" w:space="0" w:color="auto"/>
      </w:divBdr>
    </w:div>
    <w:div w:id="2051491438">
      <w:bodyDiv w:val="1"/>
      <w:marLeft w:val="0"/>
      <w:marRight w:val="0"/>
      <w:marTop w:val="0"/>
      <w:marBottom w:val="0"/>
      <w:divBdr>
        <w:top w:val="none" w:sz="0" w:space="0" w:color="auto"/>
        <w:left w:val="none" w:sz="0" w:space="0" w:color="auto"/>
        <w:bottom w:val="none" w:sz="0" w:space="0" w:color="auto"/>
        <w:right w:val="none" w:sz="0" w:space="0" w:color="auto"/>
      </w:divBdr>
    </w:div>
    <w:div w:id="2077122707">
      <w:bodyDiv w:val="1"/>
      <w:marLeft w:val="0"/>
      <w:marRight w:val="0"/>
      <w:marTop w:val="0"/>
      <w:marBottom w:val="0"/>
      <w:divBdr>
        <w:top w:val="none" w:sz="0" w:space="0" w:color="auto"/>
        <w:left w:val="none" w:sz="0" w:space="0" w:color="auto"/>
        <w:bottom w:val="none" w:sz="0" w:space="0" w:color="auto"/>
        <w:right w:val="none" w:sz="0" w:space="0" w:color="auto"/>
      </w:divBdr>
    </w:div>
    <w:div w:id="2106537221">
      <w:bodyDiv w:val="1"/>
      <w:marLeft w:val="0"/>
      <w:marRight w:val="0"/>
      <w:marTop w:val="0"/>
      <w:marBottom w:val="0"/>
      <w:divBdr>
        <w:top w:val="none" w:sz="0" w:space="0" w:color="auto"/>
        <w:left w:val="none" w:sz="0" w:space="0" w:color="auto"/>
        <w:bottom w:val="none" w:sz="0" w:space="0" w:color="auto"/>
        <w:right w:val="none" w:sz="0" w:space="0" w:color="auto"/>
      </w:divBdr>
    </w:div>
    <w:div w:id="2107771624">
      <w:bodyDiv w:val="1"/>
      <w:marLeft w:val="0"/>
      <w:marRight w:val="0"/>
      <w:marTop w:val="0"/>
      <w:marBottom w:val="0"/>
      <w:divBdr>
        <w:top w:val="none" w:sz="0" w:space="0" w:color="auto"/>
        <w:left w:val="none" w:sz="0" w:space="0" w:color="auto"/>
        <w:bottom w:val="none" w:sz="0" w:space="0" w:color="auto"/>
        <w:right w:val="none" w:sz="0" w:space="0" w:color="auto"/>
      </w:divBdr>
    </w:div>
    <w:div w:id="2108118326">
      <w:bodyDiv w:val="1"/>
      <w:marLeft w:val="0"/>
      <w:marRight w:val="0"/>
      <w:marTop w:val="0"/>
      <w:marBottom w:val="0"/>
      <w:divBdr>
        <w:top w:val="none" w:sz="0" w:space="0" w:color="auto"/>
        <w:left w:val="none" w:sz="0" w:space="0" w:color="auto"/>
        <w:bottom w:val="none" w:sz="0" w:space="0" w:color="auto"/>
        <w:right w:val="none" w:sz="0" w:space="0" w:color="auto"/>
      </w:divBdr>
    </w:div>
    <w:div w:id="2125341313">
      <w:bodyDiv w:val="1"/>
      <w:marLeft w:val="0"/>
      <w:marRight w:val="0"/>
      <w:marTop w:val="0"/>
      <w:marBottom w:val="0"/>
      <w:divBdr>
        <w:top w:val="none" w:sz="0" w:space="0" w:color="auto"/>
        <w:left w:val="none" w:sz="0" w:space="0" w:color="auto"/>
        <w:bottom w:val="none" w:sz="0" w:space="0" w:color="auto"/>
        <w:right w:val="none" w:sz="0" w:space="0" w:color="auto"/>
      </w:divBdr>
    </w:div>
    <w:div w:id="2129427111">
      <w:bodyDiv w:val="1"/>
      <w:marLeft w:val="0"/>
      <w:marRight w:val="0"/>
      <w:marTop w:val="0"/>
      <w:marBottom w:val="0"/>
      <w:divBdr>
        <w:top w:val="none" w:sz="0" w:space="0" w:color="auto"/>
        <w:left w:val="none" w:sz="0" w:space="0" w:color="auto"/>
        <w:bottom w:val="none" w:sz="0" w:space="0" w:color="auto"/>
        <w:right w:val="none" w:sz="0" w:space="0" w:color="auto"/>
      </w:divBdr>
    </w:div>
    <w:div w:id="2139176861">
      <w:bodyDiv w:val="1"/>
      <w:marLeft w:val="0"/>
      <w:marRight w:val="0"/>
      <w:marTop w:val="0"/>
      <w:marBottom w:val="0"/>
      <w:divBdr>
        <w:top w:val="none" w:sz="0" w:space="0" w:color="auto"/>
        <w:left w:val="none" w:sz="0" w:space="0" w:color="auto"/>
        <w:bottom w:val="none" w:sz="0" w:space="0" w:color="auto"/>
        <w:right w:val="none" w:sz="0" w:space="0" w:color="auto"/>
      </w:divBdr>
      <w:divsChild>
        <w:div w:id="1510218589">
          <w:marLeft w:val="0"/>
          <w:marRight w:val="0"/>
          <w:marTop w:val="0"/>
          <w:marBottom w:val="0"/>
          <w:divBdr>
            <w:top w:val="none" w:sz="0" w:space="0" w:color="auto"/>
            <w:left w:val="none" w:sz="0" w:space="0" w:color="auto"/>
            <w:bottom w:val="none" w:sz="0" w:space="0" w:color="auto"/>
            <w:right w:val="none" w:sz="0" w:space="0" w:color="auto"/>
          </w:divBdr>
          <w:divsChild>
            <w:div w:id="108522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0028197">
      <w:bodyDiv w:val="1"/>
      <w:marLeft w:val="0"/>
      <w:marRight w:val="0"/>
      <w:marTop w:val="0"/>
      <w:marBottom w:val="0"/>
      <w:divBdr>
        <w:top w:val="none" w:sz="0" w:space="0" w:color="auto"/>
        <w:left w:val="none" w:sz="0" w:space="0" w:color="auto"/>
        <w:bottom w:val="none" w:sz="0" w:space="0" w:color="auto"/>
        <w:right w:val="none" w:sz="0" w:space="0" w:color="auto"/>
      </w:divBdr>
    </w:div>
    <w:div w:id="21451554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openxmlformats.org/officeDocument/2006/relationships/hyperlink" Target="http://www.gpo.gov/fdsys/pkg/CHRG-112hhrg68185/html/CHRG-112hhrg68185.htm" TargetMode="External"/><Relationship Id="rId42" Type="http://schemas.openxmlformats.org/officeDocument/2006/relationships/image" Target="media/image6.png"/><Relationship Id="rId47" Type="http://schemas.openxmlformats.org/officeDocument/2006/relationships/hyperlink" Target="http://www.lexology.com/library/detail.aspx?g=230db10d-4519-4867-b055-016de5dee778" TargetMode="External"/><Relationship Id="rId63" Type="http://schemas.openxmlformats.org/officeDocument/2006/relationships/hyperlink" Target="http://commission.abi.org/sites/default/files/statements/22nov2013/Rhodes-ABI-Commission.docx" TargetMode="External"/><Relationship Id="rId68" Type="http://schemas.openxmlformats.org/officeDocument/2006/relationships/hyperlink" Target="http://www.gpo.gov/fdsys/pkg/CHRG-112hhrg68185/html/CHRG-112hhrg68185.htm" TargetMode="External"/><Relationship Id="rId84" Type="http://schemas.openxmlformats.org/officeDocument/2006/relationships/theme" Target="theme/theme1.xml"/><Relationship Id="rId16" Type="http://schemas.openxmlformats.org/officeDocument/2006/relationships/hyperlink" Target="https://books.google.com/books?id=TtUc4s1BCqwC&amp;pg=PA639&amp;lpg=PA639&amp;dq=%22our+financial+system+stronger+and+better%22+%22integrity+to+the+bankruptcy%22&amp;source=bl&amp;ots=9aHizct5FA&amp;sig=ACfU3U1j6eNnvGePW1Qvn9ao0OYPu0JaKQ&amp;hl=en&amp;sa=X&amp;ved=2ahUKEwid9pTNiM7lAhVGc98KHd4zBwQQ6AEwAXoECAcQAQ" TargetMode="External"/><Relationship Id="rId11" Type="http://schemas.openxmlformats.org/officeDocument/2006/relationships/footer" Target="footer2.xml"/><Relationship Id="rId32" Type="http://schemas.openxmlformats.org/officeDocument/2006/relationships/hyperlink" Target="https://www.hunton.com/files/Publication/e5fde3f9-2390-41c0-9ccf-7e5f8859f32e/Presentation/PublicationAttachment/4e45d656-248f-4a14-aaa8-883f9e1d8866/Reform_of_Bankruptcy_Venue_and_Compensation_Rules.pdf" TargetMode="External"/><Relationship Id="rId37" Type="http://schemas.openxmlformats.org/officeDocument/2006/relationships/image" Target="media/image4.png"/><Relationship Id="rId53" Type="http://schemas.openxmlformats.org/officeDocument/2006/relationships/hyperlink" Target="http://www.reuters.com/article/2014/04/29/efh-bankrkputcy-venue-idUSL2N0NL1VQ20140429" TargetMode="External"/><Relationship Id="rId58" Type="http://schemas.openxmlformats.org/officeDocument/2006/relationships/hyperlink" Target="http://www.gpo.gov/fdsys/pkg/CHRG-112hhrg68185/html/CHRG-112hhrg68185.htm" TargetMode="External"/><Relationship Id="rId74" Type="http://schemas.openxmlformats.org/officeDocument/2006/relationships/hyperlink" Target="http://blogs.wsj.com/bankruptcy/2015/02/09/the-baffling-rejection-of-venue-reform-by-the-abi-chapter-11-reform-commission/" TargetMode="External"/><Relationship Id="rId79" Type="http://schemas.openxmlformats.org/officeDocument/2006/relationships/hyperlink" Target="http://www.gpo.gov/fdsys/pkg/CHRG-112hhrg68185/html/CHRG-112hhrg68185.htm" TargetMode="External"/><Relationship Id="rId5" Type="http://schemas.openxmlformats.org/officeDocument/2006/relationships/webSettings" Target="webSettings.xml"/><Relationship Id="rId61" Type="http://schemas.openxmlformats.org/officeDocument/2006/relationships/image" Target="media/image8.png"/><Relationship Id="rId82" Type="http://schemas.openxmlformats.org/officeDocument/2006/relationships/header" Target="header5.xml"/><Relationship Id="rId19" Type="http://schemas.openxmlformats.org/officeDocument/2006/relationships/hyperlink" Target="https://clla.org/wp-content/uploads/2018/PDFs/Sections/Bankruptcy/1._Report_of_Venue_Fairness-.pdf" TargetMode="External"/><Relationship Id="rId14" Type="http://schemas.openxmlformats.org/officeDocument/2006/relationships/hyperlink" Target="https://www.merriam-webster.com/dictionary/substantial" TargetMode="External"/><Relationship Id="rId22" Type="http://schemas.openxmlformats.org/officeDocument/2006/relationships/hyperlink" Target="https://cdn.ymaws.com/www.ncbj.org/resource/resmgr/docs_public/Venue_White_Paper_-_Final.pdf" TargetMode="External"/><Relationship Id="rId27" Type="http://schemas.openxmlformats.org/officeDocument/2006/relationships/hyperlink" Target="http://www.gpo.gov/fdsys/pkg/CHRG-112hhrg68185/html/CHRG-112hhrg68185.htm" TargetMode="External"/><Relationship Id="rId30" Type="http://schemas.openxmlformats.org/officeDocument/2006/relationships/hyperlink" Target="https://www.thebalance.com/bankruptcy-still-carries-stigmas-but-it-shouldn-t-316106" TargetMode="External"/><Relationship Id="rId35" Type="http://schemas.openxmlformats.org/officeDocument/2006/relationships/hyperlink" Target="https://turnaround.org/event/goodbye-delaware-impact-bankruptcy-venue-reform-business-boston-and-you" TargetMode="External"/><Relationship Id="rId43" Type="http://schemas.openxmlformats.org/officeDocument/2006/relationships/hyperlink" Target="http://www.lexology.com/2724/author/Patrick_M_Birney/" TargetMode="External"/><Relationship Id="rId48" Type="http://schemas.openxmlformats.org/officeDocument/2006/relationships/hyperlink" Target="https://cdn.ymaws.com/www.ncbj.org/resource/resmgr/docs_public/Venue_White_Paper_-_Final.pdf" TargetMode="External"/><Relationship Id="rId56" Type="http://schemas.openxmlformats.org/officeDocument/2006/relationships/hyperlink" Target="https://lawreview.uchicago.edu/sites/lawreview.uchicago.edu/files/uploads/73.4/73_4_LoPucki_Doherty.pdf" TargetMode="External"/><Relationship Id="rId64" Type="http://schemas.openxmlformats.org/officeDocument/2006/relationships/hyperlink" Target="https://clla.org/wp-content/uploads/2018/PDFs/Sections/Bankruptcy/1._Report_of_Venue_Fairness-.pdf" TargetMode="External"/><Relationship Id="rId69" Type="http://schemas.openxmlformats.org/officeDocument/2006/relationships/hyperlink" Target="https://clla.org/wp-content/uploads/2018/PDFs/Sections/Bankruptcy/1._Report_of_Venue_Fairness-.pdf" TargetMode="External"/><Relationship Id="rId77" Type="http://schemas.openxmlformats.org/officeDocument/2006/relationships/hyperlink" Target="https://clla.org/wp-content/uploads/2018/PDFs/Sections/Bankruptcy/1._Report_of_Venue_Fairness-.pdf" TargetMode="External"/><Relationship Id="rId8" Type="http://schemas.openxmlformats.org/officeDocument/2006/relationships/header" Target="header1.xml"/><Relationship Id="rId51" Type="http://schemas.openxmlformats.org/officeDocument/2006/relationships/hyperlink" Target="https://cdn.ymaws.com/www.ncbj.org/resource/resmgr/docs_public/Venue_White_Paper_-_Final.pdf" TargetMode="External"/><Relationship Id="rId72" Type="http://schemas.openxmlformats.org/officeDocument/2006/relationships/hyperlink" Target="http://commission.abi.org/sites/default/files/statements/22nov2013/Rhodes-ABI-Commission.docx" TargetMode="External"/><Relationship Id="rId80" Type="http://schemas.openxmlformats.org/officeDocument/2006/relationships/hyperlink" Target="http://www.gpo.gov/fdsys/pkg/CHRG-112hhrg68185/html/CHRG-112hhrg68185.htm" TargetMode="Externa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https://www.dlapiper.com/en/us/insights/publications/2018/03/global-insight-issue-23/2you-want-to-file-a-bankruptcy-case-where/" TargetMode="External"/><Relationship Id="rId25" Type="http://schemas.openxmlformats.org/officeDocument/2006/relationships/image" Target="media/image2.png"/><Relationship Id="rId33" Type="http://schemas.openxmlformats.org/officeDocument/2006/relationships/image" Target="media/image3.png"/><Relationship Id="rId38" Type="http://schemas.openxmlformats.org/officeDocument/2006/relationships/hyperlink" Target="https://clla.org/wp-content/uploads/2018/PDFs/Sections/Bankruptcy/1._Report_of_Venue_Fairness-.pdf" TargetMode="External"/><Relationship Id="rId46" Type="http://schemas.openxmlformats.org/officeDocument/2006/relationships/hyperlink" Target="http://www.lexology.com/2724/author/Travis_R_Searles/" TargetMode="External"/><Relationship Id="rId59" Type="http://schemas.openxmlformats.org/officeDocument/2006/relationships/hyperlink" Target="http://www.gpo.gov/fdsys/pkg/CHRG-112hhrg68185/html/CHRG-112hhrg68185.htm" TargetMode="External"/><Relationship Id="rId67" Type="http://schemas.openxmlformats.org/officeDocument/2006/relationships/hyperlink" Target="http://www.gpo.gov/fdsys/pkg/CHRG-112hhrg68185/html/CHRG-112hhrg68185.htm" TargetMode="External"/><Relationship Id="rId20" Type="http://schemas.openxmlformats.org/officeDocument/2006/relationships/image" Target="media/image1.png"/><Relationship Id="rId41" Type="http://schemas.openxmlformats.org/officeDocument/2006/relationships/hyperlink" Target="https://www.questia.com/library/journal/1P3-3634551381/the-geography-of-bankruptcy" TargetMode="External"/><Relationship Id="rId54" Type="http://schemas.openxmlformats.org/officeDocument/2006/relationships/hyperlink" Target="http://commission.abi.org/sites/default/files/statements/22nov2013/Rhodes-ABI-Commission.docx" TargetMode="External"/><Relationship Id="rId62" Type="http://schemas.openxmlformats.org/officeDocument/2006/relationships/hyperlink" Target="http://www.gpo.gov/fdsys/pkg/CHRG-112hhrg68185/html/CHRG-112hhrg68185.htm" TargetMode="External"/><Relationship Id="rId70" Type="http://schemas.openxmlformats.org/officeDocument/2006/relationships/image" Target="media/image10.png"/><Relationship Id="rId75" Type="http://schemas.openxmlformats.org/officeDocument/2006/relationships/hyperlink" Target="http://www.gpo.gov/fdsys/pkg/CHRG-112hhrg68185/html/CHRG-112hhrg68185.htm"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merriam-webster.com/dictionary/reform" TargetMode="External"/><Relationship Id="rId23" Type="http://schemas.openxmlformats.org/officeDocument/2006/relationships/hyperlink" Target="https://lofgren.house.gov/media/press-releases/reps-lofgren-and-sensenbrenner-introduce-legislation-end-corporate-bankruptcy" TargetMode="External"/><Relationship Id="rId28" Type="http://schemas.openxmlformats.org/officeDocument/2006/relationships/hyperlink" Target="http://www.gpo.gov/fdsys/pkg/CHRG-112hhrg68185/html/CHRG-112hhrg68185.htm" TargetMode="External"/><Relationship Id="rId36" Type="http://schemas.openxmlformats.org/officeDocument/2006/relationships/hyperlink" Target="https://clla.org/wp-content/uploads/2018/PDFs/Sections/Bankruptcy/1._Report_of_Venue_Fairness-.pdf" TargetMode="External"/><Relationship Id="rId49" Type="http://schemas.openxmlformats.org/officeDocument/2006/relationships/hyperlink" Target="http://blogs.wsj.com/bankruptcy/2015/02/09/the-baffling-rejection-of-venue-reform-by-the-abi-chapter-11-reform-commission/" TargetMode="External"/><Relationship Id="rId57" Type="http://schemas.openxmlformats.org/officeDocument/2006/relationships/image" Target="media/image7.png"/><Relationship Id="rId10" Type="http://schemas.openxmlformats.org/officeDocument/2006/relationships/footer" Target="footer1.xml"/><Relationship Id="rId31" Type="http://schemas.openxmlformats.org/officeDocument/2006/relationships/hyperlink" Target="https://fas.org/sgp/crs/misc/R45813.pdf" TargetMode="External"/><Relationship Id="rId44" Type="http://schemas.openxmlformats.org/officeDocument/2006/relationships/hyperlink" Target="http://www.lexology.com/2724/author/Michael_R_Enright/" TargetMode="External"/><Relationship Id="rId52" Type="http://schemas.openxmlformats.org/officeDocument/2006/relationships/hyperlink" Target="https://lawreview.uchicago.edu/sites/lawreview.uchicago.edu/files/uploads/73.4/73_4_LoPucki_Doherty.pdf" TargetMode="External"/><Relationship Id="rId60" Type="http://schemas.openxmlformats.org/officeDocument/2006/relationships/hyperlink" Target="https://clla.org/wp-content/uploads/2018/PDFs/Sections/Bankruptcy/1._Report_of_Venue_Fairness-.pdf" TargetMode="External"/><Relationship Id="rId65" Type="http://schemas.openxmlformats.org/officeDocument/2006/relationships/image" Target="media/image9.png"/><Relationship Id="rId73" Type="http://schemas.openxmlformats.org/officeDocument/2006/relationships/hyperlink" Target="http://www.gpo.gov/fdsys/pkg/CHRG-112hhrg68185/html/CHRG-112hhrg68185.htm" TargetMode="External"/><Relationship Id="rId78" Type="http://schemas.openxmlformats.org/officeDocument/2006/relationships/image" Target="media/image11.png"/><Relationship Id="rId81" Type="http://schemas.openxmlformats.org/officeDocument/2006/relationships/hyperlink" Target="http://www.gpo.gov/fdsys/pkg/CHRG-112hhrg68185/html/CHRG-112hhrg68185.htm" TargetMode="Externa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yperlink" Target="https://cdn.ymaws.com/www.ncbj.org/resource/resmgr/docs_public/Venue_White_Paper_-_Final.pdf" TargetMode="External"/><Relationship Id="rId39" Type="http://schemas.openxmlformats.org/officeDocument/2006/relationships/image" Target="media/image5.png"/><Relationship Id="rId34" Type="http://schemas.openxmlformats.org/officeDocument/2006/relationships/hyperlink" Target="http://commission.abi.org/sites/default/files/statements/22nov2013/Rhodes-ABI-Commission.docx" TargetMode="External"/><Relationship Id="rId50" Type="http://schemas.openxmlformats.org/officeDocument/2006/relationships/hyperlink" Target="http://commission.abi.org/sites/default/files/statements/22nov2013/Rhodes-ABI-Commission.docx" TargetMode="External"/><Relationship Id="rId55" Type="http://schemas.openxmlformats.org/officeDocument/2006/relationships/hyperlink" Target="http://commission.abi.org/sites/default/files/statements/22nov2013/Rhodes-ABI-Commission.docx" TargetMode="External"/><Relationship Id="rId76" Type="http://schemas.openxmlformats.org/officeDocument/2006/relationships/hyperlink" Target="http://blogs.wsj.com/bankruptcy/2015/02/09/the-baffling-rejection-of-venue-reform-by-the-abi-chapter-11-reform-commission/" TargetMode="External"/><Relationship Id="rId7" Type="http://schemas.openxmlformats.org/officeDocument/2006/relationships/endnotes" Target="endnotes.xml"/><Relationship Id="rId71" Type="http://schemas.openxmlformats.org/officeDocument/2006/relationships/hyperlink" Target="http://www.gpo.gov/fdsys/pkg/CHRG-112hhrg68185/html/CHRG-112hhrg68185.htm" TargetMode="External"/><Relationship Id="rId2" Type="http://schemas.openxmlformats.org/officeDocument/2006/relationships/numbering" Target="numbering.xml"/><Relationship Id="rId29" Type="http://schemas.openxmlformats.org/officeDocument/2006/relationships/hyperlink" Target="https://www.congress.gov/bill/116th-congress/house-bill/4421/text" TargetMode="External"/><Relationship Id="rId24" Type="http://schemas.openxmlformats.org/officeDocument/2006/relationships/hyperlink" Target="https://clla.org/wp-content/uploads/2018/PDFs/Sections/Bankruptcy/1._Report_of_Venue_Fairness-.pdf" TargetMode="External"/><Relationship Id="rId40" Type="http://schemas.openxmlformats.org/officeDocument/2006/relationships/hyperlink" Target="http://www.gpo.gov/fdsys/pkg/CHRG-112hhrg68185/html/CHRG-112hhrg68185.htm" TargetMode="External"/><Relationship Id="rId45" Type="http://schemas.openxmlformats.org/officeDocument/2006/relationships/hyperlink" Target="http://www.lexology.com/2724/author/Steven_J_Boyajian/" TargetMode="External"/><Relationship Id="rId66" Type="http://schemas.openxmlformats.org/officeDocument/2006/relationships/hyperlink" Target="http://www.gpo.gov/fdsys/pkg/CHRG-112hhrg68185/html/CHRG-112hhrg68185.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FBE1F9-6873-D44B-8533-27B712B1FB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463</TotalTime>
  <Pages>23</Pages>
  <Words>11119</Words>
  <Characters>63379</Characters>
  <Application>Microsoft Office Word</Application>
  <DocSecurity>0</DocSecurity>
  <Lines>528</Lines>
  <Paragraphs>148</Paragraphs>
  <ScaleCrop>false</ScaleCrop>
  <HeadingPairs>
    <vt:vector size="2" baseType="variant">
      <vt:variant>
        <vt:lpstr>Title</vt:lpstr>
      </vt:variant>
      <vt:variant>
        <vt:i4>1</vt:i4>
      </vt:variant>
    </vt:vector>
  </HeadingPairs>
  <TitlesOfParts>
    <vt:vector size="1" baseType="lpstr">
      <vt:lpstr>2012-STOA-BB-012-AFF-SaudiArabia-SUBMITTED.docx</vt:lpstr>
    </vt:vector>
  </TitlesOfParts>
  <Company>DASSAULT SYSTEMES</Company>
  <LinksUpToDate>false</LinksUpToDate>
  <CharactersWithSpaces>74350</CharactersWithSpaces>
  <SharedDoc>false</SharedDoc>
  <HLinks>
    <vt:vector size="516" baseType="variant">
      <vt:variant>
        <vt:i4>1966130</vt:i4>
      </vt:variant>
      <vt:variant>
        <vt:i4>432</vt:i4>
      </vt:variant>
      <vt:variant>
        <vt:i4>0</vt:i4>
      </vt:variant>
      <vt:variant>
        <vt:i4>5</vt:i4>
      </vt:variant>
      <vt:variant>
        <vt:lpwstr>http://foreignpolicyblogs.com/2010/04/14/in-support-of-nuclear-proliferation/</vt:lpwstr>
      </vt:variant>
      <vt:variant>
        <vt:lpwstr/>
      </vt:variant>
      <vt:variant>
        <vt:i4>1704026</vt:i4>
      </vt:variant>
      <vt:variant>
        <vt:i4>429</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426</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423</vt:i4>
      </vt:variant>
      <vt:variant>
        <vt:i4>0</vt:i4>
      </vt:variant>
      <vt:variant>
        <vt:i4>5</vt:i4>
      </vt:variant>
      <vt:variant>
        <vt:lpwstr>http://www.washingtonmonthly.com/magazine/marchapril_2012/features/we_can_live_with_a_nuclear_ira035772.php</vt:lpwstr>
      </vt:variant>
      <vt:variant>
        <vt:lpwstr/>
      </vt:variant>
      <vt:variant>
        <vt:i4>7143530</vt:i4>
      </vt:variant>
      <vt:variant>
        <vt:i4>420</vt:i4>
      </vt:variant>
      <vt:variant>
        <vt:i4>0</vt:i4>
      </vt:variant>
      <vt:variant>
        <vt:i4>5</vt:i4>
      </vt:variant>
      <vt:variant>
        <vt:lpwstr>http://www.foreignaffairs.com/articles/65692/ariel-ilan-roth/the-root-of-all-fears</vt:lpwstr>
      </vt:variant>
      <vt:variant>
        <vt:lpwstr/>
      </vt:variant>
      <vt:variant>
        <vt:i4>7143530</vt:i4>
      </vt:variant>
      <vt:variant>
        <vt:i4>417</vt:i4>
      </vt:variant>
      <vt:variant>
        <vt:i4>0</vt:i4>
      </vt:variant>
      <vt:variant>
        <vt:i4>5</vt:i4>
      </vt:variant>
      <vt:variant>
        <vt:lpwstr>http://www.foreignaffairs.com/articles/65692/ariel-ilan-roth/the-root-of-all-fears</vt:lpwstr>
      </vt:variant>
      <vt:variant>
        <vt:lpwstr/>
      </vt:variant>
      <vt:variant>
        <vt:i4>7143530</vt:i4>
      </vt:variant>
      <vt:variant>
        <vt:i4>414</vt:i4>
      </vt:variant>
      <vt:variant>
        <vt:i4>0</vt:i4>
      </vt:variant>
      <vt:variant>
        <vt:i4>5</vt:i4>
      </vt:variant>
      <vt:variant>
        <vt:lpwstr>http://www.foreignaffairs.com/articles/65692/ariel-ilan-roth/the-root-of-all-fears</vt:lpwstr>
      </vt:variant>
      <vt:variant>
        <vt:lpwstr/>
      </vt:variant>
      <vt:variant>
        <vt:i4>1704026</vt:i4>
      </vt:variant>
      <vt:variant>
        <vt:i4>411</vt:i4>
      </vt:variant>
      <vt:variant>
        <vt:i4>0</vt:i4>
      </vt:variant>
      <vt:variant>
        <vt:i4>5</vt:i4>
      </vt:variant>
      <vt:variant>
        <vt:lpwstr>http://www.washingtonmonthly.com/magazine/marchapril_2012/features/we_can_live_with_a_nuclear_ira035772.php</vt:lpwstr>
      </vt:variant>
      <vt:variant>
        <vt:lpwstr/>
      </vt:variant>
      <vt:variant>
        <vt:i4>1704026</vt:i4>
      </vt:variant>
      <vt:variant>
        <vt:i4>408</vt:i4>
      </vt:variant>
      <vt:variant>
        <vt:i4>0</vt:i4>
      </vt:variant>
      <vt:variant>
        <vt:i4>5</vt:i4>
      </vt:variant>
      <vt:variant>
        <vt:lpwstr>http://www.washingtonmonthly.com/magazine/marchapril_2012/features/we_can_live_with_a_nuclear_ira035772.php</vt:lpwstr>
      </vt:variant>
      <vt:variant>
        <vt:lpwstr/>
      </vt:variant>
      <vt:variant>
        <vt:i4>65574</vt:i4>
      </vt:variant>
      <vt:variant>
        <vt:i4>405</vt:i4>
      </vt:variant>
      <vt:variant>
        <vt:i4>0</vt:i4>
      </vt:variant>
      <vt:variant>
        <vt:i4>5</vt:i4>
      </vt:variant>
      <vt:variant>
        <vt:lpwstr>http://csis.org/files/publication/140122_Cordesman_IranSanctions_Web.pdf</vt:lpwstr>
      </vt:variant>
      <vt:variant>
        <vt:lpwstr/>
      </vt:variant>
      <vt:variant>
        <vt:i4>5046342</vt:i4>
      </vt:variant>
      <vt:variant>
        <vt:i4>402</vt:i4>
      </vt:variant>
      <vt:variant>
        <vt:i4>0</vt:i4>
      </vt:variant>
      <vt:variant>
        <vt:i4>5</vt:i4>
      </vt:variant>
      <vt:variant>
        <vt:lpwstr>http://www.cnas.org/files/documents/publications/CNAS_AtomicKingdom_Kahl.pdf</vt:lpwstr>
      </vt:variant>
      <vt:variant>
        <vt:lpwstr/>
      </vt:variant>
      <vt:variant>
        <vt:i4>1769562</vt:i4>
      </vt:variant>
      <vt:variant>
        <vt:i4>399</vt:i4>
      </vt:variant>
      <vt:variant>
        <vt:i4>0</vt:i4>
      </vt:variant>
      <vt:variant>
        <vt:i4>5</vt:i4>
      </vt:variant>
      <vt:variant>
        <vt:lpwstr>http://www.amazon.com/Atomic-Obsession-Alarmism-Hiroshima-Al-Qaeda/dp/B0062GKNGC</vt:lpwstr>
      </vt:variant>
      <vt:variant>
        <vt:lpwstr/>
      </vt:variant>
      <vt:variant>
        <vt:i4>8257649</vt:i4>
      </vt:variant>
      <vt:variant>
        <vt:i4>396</vt:i4>
      </vt:variant>
      <vt:variant>
        <vt:i4>0</vt:i4>
      </vt:variant>
      <vt:variant>
        <vt:i4>5</vt:i4>
      </vt:variant>
      <vt:variant>
        <vt:lpwstr>http://www.mitpressjournals.org/doi/abs/10.1162/isec.2008.33.1.139</vt:lpwstr>
      </vt:variant>
      <vt:variant>
        <vt:lpwstr/>
      </vt:variant>
      <vt:variant>
        <vt:i4>3342377</vt:i4>
      </vt:variant>
      <vt:variant>
        <vt:i4>393</vt:i4>
      </vt:variant>
      <vt:variant>
        <vt:i4>0</vt:i4>
      </vt:variant>
      <vt:variant>
        <vt:i4>5</vt:i4>
      </vt:variant>
      <vt:variant>
        <vt:lpwstr>http://repository.library.georgetown.edu/handle/10822/558060?show=full</vt:lpwstr>
      </vt:variant>
      <vt:variant>
        <vt:lpwstr/>
      </vt:variant>
      <vt:variant>
        <vt:i4>983125</vt:i4>
      </vt:variant>
      <vt:variant>
        <vt:i4>390</vt:i4>
      </vt:variant>
      <vt:variant>
        <vt:i4>0</vt:i4>
      </vt:variant>
      <vt:variant>
        <vt:i4>5</vt:i4>
      </vt:variant>
      <vt:variant>
        <vt:lpwstr>http://www.mitpressjournals.org/doi/abs/10.1162/ISEC_a_00127</vt:lpwstr>
      </vt:variant>
      <vt:variant>
        <vt:lpwstr/>
      </vt:variant>
      <vt:variant>
        <vt:i4>2949167</vt:i4>
      </vt:variant>
      <vt:variant>
        <vt:i4>387</vt:i4>
      </vt:variant>
      <vt:variant>
        <vt:i4>0</vt:i4>
      </vt:variant>
      <vt:variant>
        <vt:i4>5</vt:i4>
      </vt:variant>
      <vt:variant>
        <vt:lpwstr>http://www.cato.org/blog/iran-would-us-take-yes-answer</vt:lpwstr>
      </vt:variant>
      <vt:variant>
        <vt:lpwstr/>
      </vt:variant>
      <vt:variant>
        <vt:i4>8126591</vt:i4>
      </vt:variant>
      <vt:variant>
        <vt:i4>384</vt:i4>
      </vt:variant>
      <vt:variant>
        <vt:i4>0</vt:i4>
      </vt:variant>
      <vt:variant>
        <vt:i4>5</vt:i4>
      </vt:variant>
      <vt:variant>
        <vt:lpwstr>http://www.foreignaffairs.com/articles/137731/kenneth-n-waltz/why-iran-should-get-the-bomb</vt:lpwstr>
      </vt:variant>
      <vt:variant>
        <vt:lpwstr/>
      </vt:variant>
      <vt:variant>
        <vt:i4>1441819</vt:i4>
      </vt:variant>
      <vt:variant>
        <vt:i4>381</vt:i4>
      </vt:variant>
      <vt:variant>
        <vt:i4>0</vt:i4>
      </vt:variant>
      <vt:variant>
        <vt:i4>5</vt:i4>
      </vt:variant>
      <vt:variant>
        <vt:lpwstr>http://fr.wikipedia.org/wiki/Universit%C3%A9_Columbia</vt:lpwstr>
      </vt:variant>
      <vt:variant>
        <vt:lpwstr/>
      </vt:variant>
      <vt:variant>
        <vt:i4>7929900</vt:i4>
      </vt:variant>
      <vt:variant>
        <vt:i4>378</vt:i4>
      </vt:variant>
      <vt:variant>
        <vt:i4>0</vt:i4>
      </vt:variant>
      <vt:variant>
        <vt:i4>5</vt:i4>
      </vt:variant>
      <vt:variant>
        <vt:lpwstr>http://fr.wikipedia.org/wiki/Universit%C3%A9_de_Californie_%C3%A0_Berkeley</vt:lpwstr>
      </vt:variant>
      <vt:variant>
        <vt:lpwstr/>
      </vt:variant>
      <vt:variant>
        <vt:i4>8126591</vt:i4>
      </vt:variant>
      <vt:variant>
        <vt:i4>375</vt:i4>
      </vt:variant>
      <vt:variant>
        <vt:i4>0</vt:i4>
      </vt:variant>
      <vt:variant>
        <vt:i4>5</vt:i4>
      </vt:variant>
      <vt:variant>
        <vt:lpwstr>http://www.foreignaffairs.com/articles/137731/kenneth-n-waltz/why-iran-should-get-the-bomb</vt:lpwstr>
      </vt:variant>
      <vt:variant>
        <vt:lpwstr/>
      </vt:variant>
      <vt:variant>
        <vt:i4>1441819</vt:i4>
      </vt:variant>
      <vt:variant>
        <vt:i4>372</vt:i4>
      </vt:variant>
      <vt:variant>
        <vt:i4>0</vt:i4>
      </vt:variant>
      <vt:variant>
        <vt:i4>5</vt:i4>
      </vt:variant>
      <vt:variant>
        <vt:lpwstr>http://fr.wikipedia.org/wiki/Universit%C3%A9_Columbia</vt:lpwstr>
      </vt:variant>
      <vt:variant>
        <vt:lpwstr/>
      </vt:variant>
      <vt:variant>
        <vt:i4>7929900</vt:i4>
      </vt:variant>
      <vt:variant>
        <vt:i4>369</vt:i4>
      </vt:variant>
      <vt:variant>
        <vt:i4>0</vt:i4>
      </vt:variant>
      <vt:variant>
        <vt:i4>5</vt:i4>
      </vt:variant>
      <vt:variant>
        <vt:lpwstr>http://fr.wikipedia.org/wiki/Universit%C3%A9_de_Californie_%C3%A0_Berkeley</vt:lpwstr>
      </vt:variant>
      <vt:variant>
        <vt:lpwstr/>
      </vt:variant>
      <vt:variant>
        <vt:i4>8126591</vt:i4>
      </vt:variant>
      <vt:variant>
        <vt:i4>366</vt:i4>
      </vt:variant>
      <vt:variant>
        <vt:i4>0</vt:i4>
      </vt:variant>
      <vt:variant>
        <vt:i4>5</vt:i4>
      </vt:variant>
      <vt:variant>
        <vt:lpwstr>http://www.foreignaffairs.com/articles/137731/kenneth-n-waltz/why-iran-should-get-the-bomb</vt:lpwstr>
      </vt:variant>
      <vt:variant>
        <vt:lpwstr/>
      </vt:variant>
      <vt:variant>
        <vt:i4>1441819</vt:i4>
      </vt:variant>
      <vt:variant>
        <vt:i4>363</vt:i4>
      </vt:variant>
      <vt:variant>
        <vt:i4>0</vt:i4>
      </vt:variant>
      <vt:variant>
        <vt:i4>5</vt:i4>
      </vt:variant>
      <vt:variant>
        <vt:lpwstr>http://fr.wikipedia.org/wiki/Universit%C3%A9_Columbia</vt:lpwstr>
      </vt:variant>
      <vt:variant>
        <vt:lpwstr/>
      </vt:variant>
      <vt:variant>
        <vt:i4>7929900</vt:i4>
      </vt:variant>
      <vt:variant>
        <vt:i4>360</vt:i4>
      </vt:variant>
      <vt:variant>
        <vt:i4>0</vt:i4>
      </vt:variant>
      <vt:variant>
        <vt:i4>5</vt:i4>
      </vt:variant>
      <vt:variant>
        <vt:lpwstr>http://fr.wikipedia.org/wiki/Universit%C3%A9_de_Californie_%C3%A0_Berkeley</vt:lpwstr>
      </vt:variant>
      <vt:variant>
        <vt:lpwstr/>
      </vt:variant>
      <vt:variant>
        <vt:i4>8126591</vt:i4>
      </vt:variant>
      <vt:variant>
        <vt:i4>357</vt:i4>
      </vt:variant>
      <vt:variant>
        <vt:i4>0</vt:i4>
      </vt:variant>
      <vt:variant>
        <vt:i4>5</vt:i4>
      </vt:variant>
      <vt:variant>
        <vt:lpwstr>http://www.foreignaffairs.com/articles/137731/kenneth-n-waltz/why-iran-should-get-the-bomb</vt:lpwstr>
      </vt:variant>
      <vt:variant>
        <vt:lpwstr/>
      </vt:variant>
      <vt:variant>
        <vt:i4>1441819</vt:i4>
      </vt:variant>
      <vt:variant>
        <vt:i4>354</vt:i4>
      </vt:variant>
      <vt:variant>
        <vt:i4>0</vt:i4>
      </vt:variant>
      <vt:variant>
        <vt:i4>5</vt:i4>
      </vt:variant>
      <vt:variant>
        <vt:lpwstr>http://fr.wikipedia.org/wiki/Universit%C3%A9_Columbia</vt:lpwstr>
      </vt:variant>
      <vt:variant>
        <vt:lpwstr/>
      </vt:variant>
      <vt:variant>
        <vt:i4>7929900</vt:i4>
      </vt:variant>
      <vt:variant>
        <vt:i4>351</vt:i4>
      </vt:variant>
      <vt:variant>
        <vt:i4>0</vt:i4>
      </vt:variant>
      <vt:variant>
        <vt:i4>5</vt:i4>
      </vt:variant>
      <vt:variant>
        <vt:lpwstr>http://fr.wikipedia.org/wiki/Universit%C3%A9_de_Californie_%C3%A0_Berkeley</vt:lpwstr>
      </vt:variant>
      <vt:variant>
        <vt:lpwstr/>
      </vt:variant>
      <vt:variant>
        <vt:i4>8126591</vt:i4>
      </vt:variant>
      <vt:variant>
        <vt:i4>348</vt:i4>
      </vt:variant>
      <vt:variant>
        <vt:i4>0</vt:i4>
      </vt:variant>
      <vt:variant>
        <vt:i4>5</vt:i4>
      </vt:variant>
      <vt:variant>
        <vt:lpwstr>http://www.foreignaffairs.com/articles/137731/kenneth-n-waltz/why-iran-should-get-the-bomb</vt:lpwstr>
      </vt:variant>
      <vt:variant>
        <vt:lpwstr/>
      </vt:variant>
      <vt:variant>
        <vt:i4>1441819</vt:i4>
      </vt:variant>
      <vt:variant>
        <vt:i4>345</vt:i4>
      </vt:variant>
      <vt:variant>
        <vt:i4>0</vt:i4>
      </vt:variant>
      <vt:variant>
        <vt:i4>5</vt:i4>
      </vt:variant>
      <vt:variant>
        <vt:lpwstr>http://fr.wikipedia.org/wiki/Universit%C3%A9_Columbia</vt:lpwstr>
      </vt:variant>
      <vt:variant>
        <vt:lpwstr/>
      </vt:variant>
      <vt:variant>
        <vt:i4>7929900</vt:i4>
      </vt:variant>
      <vt:variant>
        <vt:i4>342</vt:i4>
      </vt:variant>
      <vt:variant>
        <vt:i4>0</vt:i4>
      </vt:variant>
      <vt:variant>
        <vt:i4>5</vt:i4>
      </vt:variant>
      <vt:variant>
        <vt:lpwstr>http://fr.wikipedia.org/wiki/Universit%C3%A9_de_Californie_%C3%A0_Berkeley</vt:lpwstr>
      </vt:variant>
      <vt:variant>
        <vt:lpwstr/>
      </vt:variant>
      <vt:variant>
        <vt:i4>8126591</vt:i4>
      </vt:variant>
      <vt:variant>
        <vt:i4>339</vt:i4>
      </vt:variant>
      <vt:variant>
        <vt:i4>0</vt:i4>
      </vt:variant>
      <vt:variant>
        <vt:i4>5</vt:i4>
      </vt:variant>
      <vt:variant>
        <vt:lpwstr>http://www.foreignaffairs.com/articles/137731/kenneth-n-waltz/why-iran-should-get-the-bomb</vt:lpwstr>
      </vt:variant>
      <vt:variant>
        <vt:lpwstr/>
      </vt:variant>
      <vt:variant>
        <vt:i4>1441819</vt:i4>
      </vt:variant>
      <vt:variant>
        <vt:i4>336</vt:i4>
      </vt:variant>
      <vt:variant>
        <vt:i4>0</vt:i4>
      </vt:variant>
      <vt:variant>
        <vt:i4>5</vt:i4>
      </vt:variant>
      <vt:variant>
        <vt:lpwstr>http://fr.wikipedia.org/wiki/Universit%C3%A9_Columbia</vt:lpwstr>
      </vt:variant>
      <vt:variant>
        <vt:lpwstr/>
      </vt:variant>
      <vt:variant>
        <vt:i4>7929900</vt:i4>
      </vt:variant>
      <vt:variant>
        <vt:i4>333</vt:i4>
      </vt:variant>
      <vt:variant>
        <vt:i4>0</vt:i4>
      </vt:variant>
      <vt:variant>
        <vt:i4>5</vt:i4>
      </vt:variant>
      <vt:variant>
        <vt:lpwstr>http://fr.wikipedia.org/wiki/Universit%C3%A9_de_Californie_%C3%A0_Berkeley</vt:lpwstr>
      </vt:variant>
      <vt:variant>
        <vt:lpwstr/>
      </vt:variant>
      <vt:variant>
        <vt:i4>8126591</vt:i4>
      </vt:variant>
      <vt:variant>
        <vt:i4>330</vt:i4>
      </vt:variant>
      <vt:variant>
        <vt:i4>0</vt:i4>
      </vt:variant>
      <vt:variant>
        <vt:i4>5</vt:i4>
      </vt:variant>
      <vt:variant>
        <vt:lpwstr>http://www.foreignaffairs.com/articles/137731/kenneth-n-waltz/why-iran-should-get-the-bomb</vt:lpwstr>
      </vt:variant>
      <vt:variant>
        <vt:lpwstr/>
      </vt:variant>
      <vt:variant>
        <vt:i4>1441819</vt:i4>
      </vt:variant>
      <vt:variant>
        <vt:i4>327</vt:i4>
      </vt:variant>
      <vt:variant>
        <vt:i4>0</vt:i4>
      </vt:variant>
      <vt:variant>
        <vt:i4>5</vt:i4>
      </vt:variant>
      <vt:variant>
        <vt:lpwstr>http://fr.wikipedia.org/wiki/Universit%C3%A9_Columbia</vt:lpwstr>
      </vt:variant>
      <vt:variant>
        <vt:lpwstr/>
      </vt:variant>
      <vt:variant>
        <vt:i4>7929900</vt:i4>
      </vt:variant>
      <vt:variant>
        <vt:i4>324</vt:i4>
      </vt:variant>
      <vt:variant>
        <vt:i4>0</vt:i4>
      </vt:variant>
      <vt:variant>
        <vt:i4>5</vt:i4>
      </vt:variant>
      <vt:variant>
        <vt:lpwstr>http://fr.wikipedia.org/wiki/Universit%C3%A9_de_Californie_%C3%A0_Berkeley</vt:lpwstr>
      </vt:variant>
      <vt:variant>
        <vt:lpwstr/>
      </vt:variant>
      <vt:variant>
        <vt:i4>8126591</vt:i4>
      </vt:variant>
      <vt:variant>
        <vt:i4>321</vt:i4>
      </vt:variant>
      <vt:variant>
        <vt:i4>0</vt:i4>
      </vt:variant>
      <vt:variant>
        <vt:i4>5</vt:i4>
      </vt:variant>
      <vt:variant>
        <vt:lpwstr>http://www.foreignaffairs.com/articles/137731/kenneth-n-waltz/why-iran-should-get-the-bomb</vt:lpwstr>
      </vt:variant>
      <vt:variant>
        <vt:lpwstr/>
      </vt:variant>
      <vt:variant>
        <vt:i4>1441819</vt:i4>
      </vt:variant>
      <vt:variant>
        <vt:i4>318</vt:i4>
      </vt:variant>
      <vt:variant>
        <vt:i4>0</vt:i4>
      </vt:variant>
      <vt:variant>
        <vt:i4>5</vt:i4>
      </vt:variant>
      <vt:variant>
        <vt:lpwstr>http://fr.wikipedia.org/wiki/Universit%C3%A9_Columbia</vt:lpwstr>
      </vt:variant>
      <vt:variant>
        <vt:lpwstr/>
      </vt:variant>
      <vt:variant>
        <vt:i4>7929900</vt:i4>
      </vt:variant>
      <vt:variant>
        <vt:i4>315</vt:i4>
      </vt:variant>
      <vt:variant>
        <vt:i4>0</vt:i4>
      </vt:variant>
      <vt:variant>
        <vt:i4>5</vt:i4>
      </vt:variant>
      <vt:variant>
        <vt:lpwstr>http://fr.wikipedia.org/wiki/Universit%C3%A9_de_Californie_%C3%A0_Berkeley</vt:lpwstr>
      </vt:variant>
      <vt:variant>
        <vt:lpwstr/>
      </vt:variant>
      <vt:variant>
        <vt:i4>7471128</vt:i4>
      </vt:variant>
      <vt:variant>
        <vt:i4>312</vt:i4>
      </vt:variant>
      <vt:variant>
        <vt:i4>0</vt:i4>
      </vt:variant>
      <vt:variant>
        <vt:i4>5</vt:i4>
      </vt:variant>
      <vt:variant>
        <vt:lpwstr>http://blogs.mcclatchydc.com/nationalsecurity/2011/02/new-nie-on-iran-nuke-program-appears-to-differ-little-from-2007-findings.html</vt:lpwstr>
      </vt:variant>
      <vt:variant>
        <vt:lpwstr/>
      </vt:variant>
      <vt:variant>
        <vt:i4>6225968</vt:i4>
      </vt:variant>
      <vt:variant>
        <vt:i4>309</vt:i4>
      </vt:variant>
      <vt:variant>
        <vt:i4>0</vt:i4>
      </vt:variant>
      <vt:variant>
        <vt:i4>5</vt:i4>
      </vt:variant>
      <vt:variant>
        <vt:lpwstr>http://www.juancole.com/2009/10/iran-and-nuclear-latency.html</vt:lpwstr>
      </vt:variant>
      <vt:variant>
        <vt:lpwstr/>
      </vt:variant>
      <vt:variant>
        <vt:i4>1900661</vt:i4>
      </vt:variant>
      <vt:variant>
        <vt:i4>306</vt:i4>
      </vt:variant>
      <vt:variant>
        <vt:i4>0</vt:i4>
      </vt:variant>
      <vt:variant>
        <vt:i4>5</vt:i4>
      </vt:variant>
      <vt:variant>
        <vt:lpwstr>http://www.cbsnews.com/news/face-the-nation-transcript-january-8-2012</vt:lpwstr>
      </vt:variant>
      <vt:variant>
        <vt:lpwstr/>
      </vt:variant>
      <vt:variant>
        <vt:i4>3211325</vt:i4>
      </vt:variant>
      <vt:variant>
        <vt:i4>303</vt:i4>
      </vt:variant>
      <vt:variant>
        <vt:i4>0</vt:i4>
      </vt:variant>
      <vt:variant>
        <vt:i4>5</vt:i4>
      </vt:variant>
      <vt:variant>
        <vt:lpwstr>http://www.cbsnews.com/news/why-iran-sanctions-are-doomed-to-fail/</vt:lpwstr>
      </vt:variant>
      <vt:variant>
        <vt:lpwstr/>
      </vt:variant>
      <vt:variant>
        <vt:i4>6815794</vt:i4>
      </vt:variant>
      <vt:variant>
        <vt:i4>300</vt:i4>
      </vt:variant>
      <vt:variant>
        <vt:i4>0</vt:i4>
      </vt:variant>
      <vt:variant>
        <vt:i4>5</vt:i4>
      </vt:variant>
      <vt:variant>
        <vt:lpwstr>http://www.cato.org/publications/commentary/limits-coercive-diplomacy-iran</vt:lpwstr>
      </vt:variant>
      <vt:variant>
        <vt:lpwstr/>
      </vt:variant>
      <vt:variant>
        <vt:i4>2359329</vt:i4>
      </vt:variant>
      <vt:variant>
        <vt:i4>297</vt:i4>
      </vt:variant>
      <vt:variant>
        <vt:i4>0</vt:i4>
      </vt:variant>
      <vt:variant>
        <vt:i4>5</vt:i4>
      </vt:variant>
      <vt:variant>
        <vt:lpwstr>http://articles.timesofindia.indiatimes.com/2012-03-21/us/31219883_1_iranian-oil-oil-purchases-imports</vt:lpwstr>
      </vt:variant>
      <vt:variant>
        <vt:lpwstr/>
      </vt:variant>
      <vt:variant>
        <vt:i4>8323188</vt:i4>
      </vt:variant>
      <vt:variant>
        <vt:i4>294</vt:i4>
      </vt:variant>
      <vt:variant>
        <vt:i4>0</vt:i4>
      </vt:variant>
      <vt:variant>
        <vt:i4>5</vt:i4>
      </vt:variant>
      <vt:variant>
        <vt:lpwstr>http://www.cato.org/publications/commentary/iran-sanctions-leakage</vt:lpwstr>
      </vt:variant>
      <vt:variant>
        <vt:lpwstr/>
      </vt:variant>
      <vt:variant>
        <vt:i4>3211385</vt:i4>
      </vt:variant>
      <vt:variant>
        <vt:i4>291</vt:i4>
      </vt:variant>
      <vt:variant>
        <vt:i4>0</vt:i4>
      </vt:variant>
      <vt:variant>
        <vt:i4>5</vt:i4>
      </vt:variant>
      <vt:variant>
        <vt:lpwstr>http://www.law.georgetown.edu/academics/law-journals/gjil/recent/upload/zsx00313000973.PDF</vt:lpwstr>
      </vt:variant>
      <vt:variant>
        <vt:lpwstr/>
      </vt:variant>
      <vt:variant>
        <vt:i4>2359297</vt:i4>
      </vt:variant>
      <vt:variant>
        <vt:i4>288</vt:i4>
      </vt:variant>
      <vt:variant>
        <vt:i4>0</vt:i4>
      </vt:variant>
      <vt:variant>
        <vt:i4>5</vt:i4>
      </vt:variant>
      <vt:variant>
        <vt:lpwstr>http://www.washingtonpost.com/world/national-security/despite-sanctions-toll-on-iran-us-sees-no-shift-in-nuclear-behavior/2013/03/17/d23b3b6a-8dad-11e2-b63f-f53fb9f2fcb4_story.html</vt:lpwstr>
      </vt:variant>
      <vt:variant>
        <vt:lpwstr/>
      </vt:variant>
      <vt:variant>
        <vt:i4>2687049</vt:i4>
      </vt:variant>
      <vt:variant>
        <vt:i4>285</vt:i4>
      </vt:variant>
      <vt:variant>
        <vt:i4>0</vt:i4>
      </vt:variant>
      <vt:variant>
        <vt:i4>5</vt:i4>
      </vt:variant>
      <vt:variant>
        <vt:lpwstr>http://www.wilsoncenter.org/publication/sanctions-and-medical-supply-shortages-iran</vt:lpwstr>
      </vt:variant>
      <vt:variant>
        <vt:lpwstr/>
      </vt:variant>
      <vt:variant>
        <vt:i4>6553724</vt:i4>
      </vt:variant>
      <vt:variant>
        <vt:i4>282</vt:i4>
      </vt:variant>
      <vt:variant>
        <vt:i4>0</vt:i4>
      </vt:variant>
      <vt:variant>
        <vt:i4>5</vt:i4>
      </vt:variant>
      <vt:variant>
        <vt:lpwstr>http://www.nytimes.com/2013/03/02/opinion/blocking-medicine-to-iran.html?_r=0</vt:lpwstr>
      </vt:variant>
      <vt:variant>
        <vt:lpwstr/>
      </vt:variant>
      <vt:variant>
        <vt:i4>3211385</vt:i4>
      </vt:variant>
      <vt:variant>
        <vt:i4>279</vt:i4>
      </vt:variant>
      <vt:variant>
        <vt:i4>0</vt:i4>
      </vt:variant>
      <vt:variant>
        <vt:i4>5</vt:i4>
      </vt:variant>
      <vt:variant>
        <vt:lpwstr>http://www.law.georgetown.edu/academics/law-journals/gjil/recent/upload/zsx00313000973.PDF</vt:lpwstr>
      </vt:variant>
      <vt:variant>
        <vt:lpwstr/>
      </vt:variant>
      <vt:variant>
        <vt:i4>65574</vt:i4>
      </vt:variant>
      <vt:variant>
        <vt:i4>276</vt:i4>
      </vt:variant>
      <vt:variant>
        <vt:i4>0</vt:i4>
      </vt:variant>
      <vt:variant>
        <vt:i4>5</vt:i4>
      </vt:variant>
      <vt:variant>
        <vt:lpwstr>http://csis.org/files/publication/140122_Cordesman_IranSanctions_Web.pdf</vt:lpwstr>
      </vt:variant>
      <vt:variant>
        <vt:lpwstr/>
      </vt:variant>
      <vt:variant>
        <vt:i4>6815794</vt:i4>
      </vt:variant>
      <vt:variant>
        <vt:i4>273</vt:i4>
      </vt:variant>
      <vt:variant>
        <vt:i4>0</vt:i4>
      </vt:variant>
      <vt:variant>
        <vt:i4>5</vt:i4>
      </vt:variant>
      <vt:variant>
        <vt:lpwstr>http://www.cato.org/publications/commentary/limits-coercive-diplomacy-iran</vt:lpwstr>
      </vt:variant>
      <vt:variant>
        <vt:lpwstr/>
      </vt:variant>
      <vt:variant>
        <vt:i4>6684729</vt:i4>
      </vt:variant>
      <vt:variant>
        <vt:i4>270</vt:i4>
      </vt:variant>
      <vt:variant>
        <vt:i4>0</vt:i4>
      </vt:variant>
      <vt:variant>
        <vt:i4>5</vt:i4>
      </vt:variant>
      <vt:variant>
        <vt:lpwstr>http://www.fas.org/sgp/crs/mideast/RS20871.pdf</vt:lpwstr>
      </vt:variant>
      <vt:variant>
        <vt:lpwstr/>
      </vt:variant>
      <vt:variant>
        <vt:i4>6684729</vt:i4>
      </vt:variant>
      <vt:variant>
        <vt:i4>267</vt:i4>
      </vt:variant>
      <vt:variant>
        <vt:i4>0</vt:i4>
      </vt:variant>
      <vt:variant>
        <vt:i4>5</vt:i4>
      </vt:variant>
      <vt:variant>
        <vt:lpwstr>http://www.fas.org/sgp/crs/mideast/RS20871.pdf</vt:lpwstr>
      </vt:variant>
      <vt:variant>
        <vt:lpwstr/>
      </vt:variant>
      <vt:variant>
        <vt:i4>196622</vt:i4>
      </vt:variant>
      <vt:variant>
        <vt:i4>264</vt:i4>
      </vt:variant>
      <vt:variant>
        <vt:i4>0</vt:i4>
      </vt:variant>
      <vt:variant>
        <vt:i4>5</vt:i4>
      </vt:variant>
      <vt:variant>
        <vt:lpwstr>http://www.amazon.com/Sanctions-Reconsidered-Institute-International-Economics/dp/0881324310</vt:lpwstr>
      </vt:variant>
      <vt:variant>
        <vt:lpwstr/>
      </vt:variant>
      <vt:variant>
        <vt:i4>8323188</vt:i4>
      </vt:variant>
      <vt:variant>
        <vt:i4>261</vt:i4>
      </vt:variant>
      <vt:variant>
        <vt:i4>0</vt:i4>
      </vt:variant>
      <vt:variant>
        <vt:i4>5</vt:i4>
      </vt:variant>
      <vt:variant>
        <vt:lpwstr>http://www.cato.org/publications/commentary/iran-sanctions-leakage</vt:lpwstr>
      </vt:variant>
      <vt:variant>
        <vt:lpwstr/>
      </vt:variant>
      <vt:variant>
        <vt:i4>4980796</vt:i4>
      </vt:variant>
      <vt:variant>
        <vt:i4>258</vt:i4>
      </vt:variant>
      <vt:variant>
        <vt:i4>0</vt:i4>
      </vt:variant>
      <vt:variant>
        <vt:i4>5</vt:i4>
      </vt:variant>
      <vt:variant>
        <vt:lpwstr>http://csis.org/files/publication/twq10januarydobbins.pdf</vt:lpwstr>
      </vt:variant>
      <vt:variant>
        <vt:lpwstr/>
      </vt:variant>
      <vt:variant>
        <vt:i4>1966193</vt:i4>
      </vt:variant>
      <vt:variant>
        <vt:i4>255</vt:i4>
      </vt:variant>
      <vt:variant>
        <vt:i4>0</vt:i4>
      </vt:variant>
      <vt:variant>
        <vt:i4>5</vt:i4>
      </vt:variant>
      <vt:variant>
        <vt:lpwstr>http://www.foreignpolicy.com/articles/2014/05/14/sanctions_did_not_force_iran_to_make_a_deal_nuclear_enrichment</vt:lpwstr>
      </vt:variant>
      <vt:variant>
        <vt:lpwstr/>
      </vt:variant>
      <vt:variant>
        <vt:i4>1966193</vt:i4>
      </vt:variant>
      <vt:variant>
        <vt:i4>252</vt:i4>
      </vt:variant>
      <vt:variant>
        <vt:i4>0</vt:i4>
      </vt:variant>
      <vt:variant>
        <vt:i4>5</vt:i4>
      </vt:variant>
      <vt:variant>
        <vt:lpwstr>http://www.foreignpolicy.com/articles/2014/05/14/sanctions_did_not_force_iran_to_make_a_deal_nuclear_enrichment</vt:lpwstr>
      </vt:variant>
      <vt:variant>
        <vt:lpwstr/>
      </vt:variant>
      <vt:variant>
        <vt:i4>5767295</vt:i4>
      </vt:variant>
      <vt:variant>
        <vt:i4>249</vt:i4>
      </vt:variant>
      <vt:variant>
        <vt:i4>0</vt:i4>
      </vt:variant>
      <vt:variant>
        <vt:i4>5</vt:i4>
      </vt:variant>
      <vt:variant>
        <vt:lpwstr>http://www.cnn.com/2013/12/19/politics/iran-sanctions-senate/</vt:lpwstr>
      </vt:variant>
      <vt:variant>
        <vt:lpwstr/>
      </vt:variant>
      <vt:variant>
        <vt:i4>4063269</vt:i4>
      </vt:variant>
      <vt:variant>
        <vt:i4>246</vt:i4>
      </vt:variant>
      <vt:variant>
        <vt:i4>0</vt:i4>
      </vt:variant>
      <vt:variant>
        <vt:i4>5</vt:i4>
      </vt:variant>
      <vt:variant>
        <vt:lpwstr>http://politicalticker.blogs.cnn.com/2013/12/01/ex-national-security-adviser-direct-line-between-iran-sanctions-and-rouhanis-election/</vt:lpwstr>
      </vt:variant>
      <vt:variant>
        <vt:lpwstr/>
      </vt:variant>
      <vt:variant>
        <vt:i4>1966193</vt:i4>
      </vt:variant>
      <vt:variant>
        <vt:i4>243</vt:i4>
      </vt:variant>
      <vt:variant>
        <vt:i4>0</vt:i4>
      </vt:variant>
      <vt:variant>
        <vt:i4>5</vt:i4>
      </vt:variant>
      <vt:variant>
        <vt:lpwstr>http://www.foreignpolicy.com/articles/2014/05/14/sanctions_did_not_force_iran_to_make_a_deal_nuclear_enrichment</vt:lpwstr>
      </vt:variant>
      <vt:variant>
        <vt:lpwstr/>
      </vt:variant>
      <vt:variant>
        <vt:i4>5701735</vt:i4>
      </vt:variant>
      <vt:variant>
        <vt:i4>240</vt:i4>
      </vt:variant>
      <vt:variant>
        <vt:i4>0</vt:i4>
      </vt:variant>
      <vt:variant>
        <vt:i4>5</vt:i4>
      </vt:variant>
      <vt:variant>
        <vt:lpwstr>http://www.aaiusa.org/blog/entry/zrs-poll-release-iranian-attitudes-toward-rouhani-and-irans-nuclear-program/</vt:lpwstr>
      </vt:variant>
      <vt:variant>
        <vt:lpwstr/>
      </vt:variant>
      <vt:variant>
        <vt:i4>1966193</vt:i4>
      </vt:variant>
      <vt:variant>
        <vt:i4>237</vt:i4>
      </vt:variant>
      <vt:variant>
        <vt:i4>0</vt:i4>
      </vt:variant>
      <vt:variant>
        <vt:i4>5</vt:i4>
      </vt:variant>
      <vt:variant>
        <vt:lpwstr>http://www.foreignpolicy.com/articles/2014/05/14/sanctions_did_not_force_iran_to_make_a_deal_nuclear_enrichment</vt:lpwstr>
      </vt:variant>
      <vt:variant>
        <vt:lpwstr/>
      </vt:variant>
      <vt:variant>
        <vt:i4>8323188</vt:i4>
      </vt:variant>
      <vt:variant>
        <vt:i4>234</vt:i4>
      </vt:variant>
      <vt:variant>
        <vt:i4>0</vt:i4>
      </vt:variant>
      <vt:variant>
        <vt:i4>5</vt:i4>
      </vt:variant>
      <vt:variant>
        <vt:lpwstr>http://www.cato.org/publications/commentary/iran-sanctions-leakage</vt:lpwstr>
      </vt:variant>
      <vt:variant>
        <vt:lpwstr/>
      </vt:variant>
      <vt:variant>
        <vt:i4>720949</vt:i4>
      </vt:variant>
      <vt:variant>
        <vt:i4>231</vt:i4>
      </vt:variant>
      <vt:variant>
        <vt:i4>0</vt:i4>
      </vt:variant>
      <vt:variant>
        <vt:i4>5</vt:i4>
      </vt:variant>
      <vt:variant>
        <vt:lpwstr>http://www.treasury.gov/resource-center/sanctions/Programs/Documents/jpoa_faqs.pdf</vt:lpwstr>
      </vt:variant>
      <vt:variant>
        <vt:lpwstr/>
      </vt:variant>
      <vt:variant>
        <vt:i4>3211385</vt:i4>
      </vt:variant>
      <vt:variant>
        <vt:i4>228</vt:i4>
      </vt:variant>
      <vt:variant>
        <vt:i4>0</vt:i4>
      </vt:variant>
      <vt:variant>
        <vt:i4>5</vt:i4>
      </vt:variant>
      <vt:variant>
        <vt:lpwstr>http://www.law.georgetown.edu/academics/law-journals/gjil/recent/upload/zsx00313000973.PDF</vt:lpwstr>
      </vt:variant>
      <vt:variant>
        <vt:lpwstr/>
      </vt:variant>
      <vt:variant>
        <vt:i4>3211385</vt:i4>
      </vt:variant>
      <vt:variant>
        <vt:i4>225</vt:i4>
      </vt:variant>
      <vt:variant>
        <vt:i4>0</vt:i4>
      </vt:variant>
      <vt:variant>
        <vt:i4>5</vt:i4>
      </vt:variant>
      <vt:variant>
        <vt:lpwstr>http://www.law.georgetown.edu/academics/law-journals/gjil/recent/upload/zsx00313000973.PDF</vt:lpwstr>
      </vt:variant>
      <vt:variant>
        <vt:lpwstr/>
      </vt:variant>
      <vt:variant>
        <vt:i4>3211385</vt:i4>
      </vt:variant>
      <vt:variant>
        <vt:i4>222</vt:i4>
      </vt:variant>
      <vt:variant>
        <vt:i4>0</vt:i4>
      </vt:variant>
      <vt:variant>
        <vt:i4>5</vt:i4>
      </vt:variant>
      <vt:variant>
        <vt:lpwstr>http://www.law.georgetown.edu/academics/law-journals/gjil/recent/upload/zsx00313000973.PDF</vt:lpwstr>
      </vt:variant>
      <vt:variant>
        <vt:lpwstr/>
      </vt:variant>
      <vt:variant>
        <vt:i4>1179710</vt:i4>
      </vt:variant>
      <vt:variant>
        <vt:i4>219</vt:i4>
      </vt:variant>
      <vt:variant>
        <vt:i4>0</vt:i4>
      </vt:variant>
      <vt:variant>
        <vt:i4>5</vt:i4>
      </vt:variant>
      <vt:variant>
        <vt:lpwstr>http://www.guardian.co.uk/commentisfree/2012/oct/02/iran-nukes-deterrence</vt:lpwstr>
      </vt:variant>
      <vt:variant>
        <vt:lpwstr/>
      </vt:variant>
      <vt:variant>
        <vt:i4>118</vt:i4>
      </vt:variant>
      <vt:variant>
        <vt:i4>216</vt:i4>
      </vt:variant>
      <vt:variant>
        <vt:i4>0</vt:i4>
      </vt:variant>
      <vt:variant>
        <vt:i4>5</vt:i4>
      </vt:variant>
      <vt:variant>
        <vt:lpwstr>http://www.foreignaffairs.com/articles/137011/suzanne-maloney/obamas-counterproductive-new-iran-sanctions</vt:lpwstr>
      </vt:variant>
      <vt:variant>
        <vt:lpwstr/>
      </vt:variant>
      <vt:variant>
        <vt:i4>2949167</vt:i4>
      </vt:variant>
      <vt:variant>
        <vt:i4>213</vt:i4>
      </vt:variant>
      <vt:variant>
        <vt:i4>0</vt:i4>
      </vt:variant>
      <vt:variant>
        <vt:i4>5</vt:i4>
      </vt:variant>
      <vt:variant>
        <vt:lpwstr>http://www.cato.org/blog/iran-would-us-take-yes-answer</vt:lpwstr>
      </vt:variant>
      <vt:variant>
        <vt:lpwstr/>
      </vt:variant>
      <vt:variant>
        <vt:i4>4325398</vt:i4>
      </vt:variant>
      <vt:variant>
        <vt:i4>210</vt:i4>
      </vt:variant>
      <vt:variant>
        <vt:i4>0</vt:i4>
      </vt:variant>
      <vt:variant>
        <vt:i4>5</vt:i4>
      </vt:variant>
      <vt:variant>
        <vt:lpwstr>http://www.al-monitor.com/pulse/originals/2014/03/iran-sanctions-terrorism-second-front-nuclear.html</vt:lpwstr>
      </vt:variant>
      <vt:variant>
        <vt:lpwstr/>
      </vt:variant>
      <vt:variant>
        <vt:i4>1966193</vt:i4>
      </vt:variant>
      <vt:variant>
        <vt:i4>207</vt:i4>
      </vt:variant>
      <vt:variant>
        <vt:i4>0</vt:i4>
      </vt:variant>
      <vt:variant>
        <vt:i4>5</vt:i4>
      </vt:variant>
      <vt:variant>
        <vt:lpwstr>http://www.foreignpolicy.com/articles/2014/05/14/sanctions_did_not_force_iran_to_make_a_deal_nuclear_enrichment</vt:lpwstr>
      </vt:variant>
      <vt:variant>
        <vt:lpwstr/>
      </vt:variant>
      <vt:variant>
        <vt:i4>8323188</vt:i4>
      </vt:variant>
      <vt:variant>
        <vt:i4>204</vt:i4>
      </vt:variant>
      <vt:variant>
        <vt:i4>0</vt:i4>
      </vt:variant>
      <vt:variant>
        <vt:i4>5</vt:i4>
      </vt:variant>
      <vt:variant>
        <vt:lpwstr>http://www.cato.org/publications/commentary/iran-sanctions-leakage</vt:lpwstr>
      </vt:variant>
      <vt:variant>
        <vt:lpwstr/>
      </vt:variant>
      <vt:variant>
        <vt:i4>3211385</vt:i4>
      </vt:variant>
      <vt:variant>
        <vt:i4>201</vt:i4>
      </vt:variant>
      <vt:variant>
        <vt:i4>0</vt:i4>
      </vt:variant>
      <vt:variant>
        <vt:i4>5</vt:i4>
      </vt:variant>
      <vt:variant>
        <vt:lpwstr>http://www.law.georgetown.edu/academics/law-journals/gjil/recent/upload/zsx00313000973.PDF</vt:lpwstr>
      </vt:variant>
      <vt:variant>
        <vt:lpwstr/>
      </vt:variant>
      <vt:variant>
        <vt:i4>8126591</vt:i4>
      </vt:variant>
      <vt:variant>
        <vt:i4>198</vt:i4>
      </vt:variant>
      <vt:variant>
        <vt:i4>0</vt:i4>
      </vt:variant>
      <vt:variant>
        <vt:i4>5</vt:i4>
      </vt:variant>
      <vt:variant>
        <vt:lpwstr>http://www.foreignaffairs.com/articles/137731/kenneth-n-waltz/why-iran-should-get-the-bomb</vt:lpwstr>
      </vt:variant>
      <vt:variant>
        <vt:lpwstr/>
      </vt:variant>
      <vt:variant>
        <vt:i4>1441819</vt:i4>
      </vt:variant>
      <vt:variant>
        <vt:i4>195</vt:i4>
      </vt:variant>
      <vt:variant>
        <vt:i4>0</vt:i4>
      </vt:variant>
      <vt:variant>
        <vt:i4>5</vt:i4>
      </vt:variant>
      <vt:variant>
        <vt:lpwstr>http://fr.wikipedia.org/wiki/Universit%C3%A9_Columbia</vt:lpwstr>
      </vt:variant>
      <vt:variant>
        <vt:lpwstr/>
      </vt:variant>
      <vt:variant>
        <vt:i4>7929900</vt:i4>
      </vt:variant>
      <vt:variant>
        <vt:i4>192</vt:i4>
      </vt:variant>
      <vt:variant>
        <vt:i4>0</vt:i4>
      </vt:variant>
      <vt:variant>
        <vt:i4>5</vt:i4>
      </vt:variant>
      <vt:variant>
        <vt:lpwstr>http://fr.wikipedia.org/wiki/Universit%C3%A9_de_Californie_%C3%A0_Berkeley</vt:lpwstr>
      </vt:variant>
      <vt:variant>
        <vt:lpwstr/>
      </vt:variant>
      <vt:variant>
        <vt:i4>3211385</vt:i4>
      </vt:variant>
      <vt:variant>
        <vt:i4>189</vt:i4>
      </vt:variant>
      <vt:variant>
        <vt:i4>0</vt:i4>
      </vt:variant>
      <vt:variant>
        <vt:i4>5</vt:i4>
      </vt:variant>
      <vt:variant>
        <vt:lpwstr>http://www.law.georgetown.edu/academics/law-journals/gjil/recent/upload/zsx00313000973.PDF</vt:lpwstr>
      </vt:variant>
      <vt:variant>
        <vt:lpwstr/>
      </vt:variant>
      <vt:variant>
        <vt:i4>1572981</vt:i4>
      </vt:variant>
      <vt:variant>
        <vt:i4>186</vt:i4>
      </vt:variant>
      <vt:variant>
        <vt:i4>0</vt:i4>
      </vt:variant>
      <vt:variant>
        <vt:i4>5</vt:i4>
      </vt:variant>
      <vt:variant>
        <vt:lpwstr>http://www.cato.org/publications/commentary/failure-iranian-sanctions</vt:lpwstr>
      </vt:variant>
      <vt:variant>
        <vt:lpwstr/>
      </vt:variant>
      <vt:variant>
        <vt:i4>6684729</vt:i4>
      </vt:variant>
      <vt:variant>
        <vt:i4>183</vt:i4>
      </vt:variant>
      <vt:variant>
        <vt:i4>0</vt:i4>
      </vt:variant>
      <vt:variant>
        <vt:i4>5</vt:i4>
      </vt:variant>
      <vt:variant>
        <vt:lpwstr>http://www.fas.org/sgp/crs/mideast/RS20871.pdf</vt:lpwstr>
      </vt:variant>
      <vt:variant>
        <vt:lpwstr/>
      </vt:variant>
      <vt:variant>
        <vt:i4>720991</vt:i4>
      </vt:variant>
      <vt:variant>
        <vt:i4>180</vt:i4>
      </vt:variant>
      <vt:variant>
        <vt:i4>0</vt:i4>
      </vt:variant>
      <vt:variant>
        <vt:i4>5</vt:i4>
      </vt:variant>
      <vt:variant>
        <vt:lpwstr>http://www.merriam-webster.com/dictionary/policy?show=0&amp;t=1402599657</vt:lpwstr>
      </vt:variant>
      <vt:variant>
        <vt:lpwstr/>
      </vt:variant>
      <vt:variant>
        <vt:i4>1835133</vt:i4>
      </vt:variant>
      <vt:variant>
        <vt:i4>177</vt:i4>
      </vt:variant>
      <vt:variant>
        <vt:i4>0</vt:i4>
      </vt:variant>
      <vt:variant>
        <vt:i4>5</vt:i4>
      </vt:variant>
      <vt:variant>
        <vt:lpwstr>http://www.merriam-webster.com/dictionary/significant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2012-STOA-BB-012-AFF-SaudiArabia-SUBMITTED.docx</dc:title>
  <dc:creator>Chris Jeub</dc:creator>
  <cp:lastModifiedBy>Chris Jeub</cp:lastModifiedBy>
  <cp:revision>19</cp:revision>
  <cp:lastPrinted>2015-07-26T12:10:00Z</cp:lastPrinted>
  <dcterms:created xsi:type="dcterms:W3CDTF">2015-09-29T18:58:00Z</dcterms:created>
  <dcterms:modified xsi:type="dcterms:W3CDTF">2019-11-11T12:38:00Z</dcterms:modified>
</cp:coreProperties>
</file>